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colors5.xml" ContentType="application/vnd.ms-office.chartcolorstyle+xml"/>
  <Override PartName="/word/charts/colors6.xml" ContentType="application/vnd.ms-office.chartcolorstyle+xml"/>
  <Override PartName="/word/charts/colors7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style5.xml" ContentType="application/vnd.ms-office.chartstyle+xml"/>
  <Override PartName="/word/charts/style6.xml" ContentType="application/vnd.ms-office.chartstyle+xml"/>
  <Override PartName="/word/charts/style7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eastAsia="方正小标宋简体"/>
        </w:rPr>
      </w:pPr>
    </w:p>
    <w:p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76200</wp:posOffset>
                </wp:positionV>
                <wp:extent cx="6791325" cy="1266190"/>
                <wp:effectExtent l="4445" t="4445" r="5080" b="571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1325" cy="126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方正小标宋简体" w:hAnsi="方正小标宋简体" w:eastAsia="方正小标宋简体" w:cs="方正小标宋简体"/>
                                <w:color w:val="FE1E00"/>
                                <w:w w:val="60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A3C00"/>
                                <w:w w:val="60"/>
                                <w:sz w:val="120"/>
                                <w:szCs w:val="120"/>
                              </w:rPr>
                              <w:t>长岛综合试验区经济发展局文件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0pt;margin-top:6pt;height:99.7pt;width:534.75pt;z-index:251659264;mso-width-relative:page;mso-height-relative:page;" fillcolor="#FFFFFF" filled="t" stroked="t" coordsize="21600,21600" o:gfxdata="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oq4Q/YAAAACwEAAA8AAAAAAAAAAQAg&#10;AAAAIgAAAGRycy9kb3ducmV2LnhtbFBLAQIUABQAAAAIAIdO4kBovwwkDgIAAEUEAAAOAAAAAAAA&#10;AAEAIAAAACcBAABkcnMvZTJvRG9jLnhtbFBLBQYAAAAABgAGAFkBAACn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方正小标宋简体" w:hAnsi="方正小标宋简体" w:eastAsia="方正小标宋简体" w:cs="方正小标宋简体"/>
                          <w:color w:val="FE1E00"/>
                          <w:w w:val="60"/>
                          <w:sz w:val="120"/>
                          <w:szCs w:val="120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A3C00"/>
                          <w:w w:val="60"/>
                          <w:sz w:val="120"/>
                          <w:szCs w:val="120"/>
                        </w:rPr>
                        <w:t>长岛综合试验区经济发展局文件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>
      <w:pPr>
        <w:jc w:val="center"/>
        <w:rPr>
          <w:rFonts w:asciiTheme="majorEastAsia" w:hAnsiTheme="majorEastAsia" w:eastAsiaTheme="majorEastAsia"/>
          <w:sz w:val="36"/>
          <w:szCs w:val="36"/>
        </w:rPr>
      </w:pPr>
    </w:p>
    <w:p>
      <w:pPr>
        <w:jc w:val="center"/>
        <w:rPr>
          <w:rFonts w:asciiTheme="majorEastAsia" w:hAnsiTheme="majorEastAsia" w:eastAsiaTheme="majorEastAsia"/>
          <w:sz w:val="36"/>
          <w:szCs w:val="36"/>
        </w:rPr>
      </w:pP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长经发﹝2021﹞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62</w:t>
      </w:r>
      <w:r>
        <w:rPr>
          <w:rFonts w:hint="eastAsia" w:ascii="仿宋" w:hAnsi="仿宋" w:eastAsia="仿宋"/>
          <w:sz w:val="32"/>
          <w:szCs w:val="32"/>
        </w:rPr>
        <w:t>号</w:t>
      </w:r>
    </w:p>
    <w:p>
      <w:pPr>
        <w:jc w:val="center"/>
        <w:rPr>
          <w:rFonts w:asciiTheme="majorEastAsia" w:hAnsiTheme="majorEastAsia" w:eastAsiaTheme="majorEastAsia"/>
          <w:sz w:val="36"/>
          <w:szCs w:val="36"/>
        </w:rPr>
      </w:pPr>
      <w:r>
        <w:rPr>
          <w:rFonts w:asciiTheme="majorEastAsia" w:hAnsiTheme="majorEastAsia" w:eastAsiaTheme="majorEastAsia"/>
          <w:color w:val="FA3C00"/>
          <w:sz w:val="36"/>
          <w:szCs w:val="36"/>
          <w:shd w:val="clear" w:color="FFFFFF" w:fill="D9D9D9"/>
        </w:rPr>
        <w:pict>
          <v:rect id="_x0000_i1025" o:spt="1" style="height:2pt;width:472.3pt;" fillcolor="#FF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2020年长岛综合试验区国民经济和社会发展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36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36"/>
          <w:lang w:val="zh-CN"/>
        </w:rPr>
        <w:t>统计公报</w:t>
      </w:r>
    </w:p>
    <w:p>
      <w:pPr>
        <w:adjustRightInd w:val="0"/>
        <w:spacing w:line="360" w:lineRule="auto"/>
        <w:jc w:val="center"/>
        <w:rPr>
          <w:sz w:val="20"/>
          <w:szCs w:val="20"/>
          <w:lang w:val="zh-CN"/>
        </w:rPr>
      </w:pP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2020年，全区上下在区工委、管委的正确领导下，紧紧围绕高质量建设综合试验区目标任务，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生态修复保护不断加强，经济结构不断优化，各项社会事业全面发展，“十三五”实现圆满收官。全年</w:t>
      </w:r>
      <w:r>
        <w:rPr>
          <w:rFonts w:hint="eastAsia" w:ascii="仿宋" w:hAnsi="仿宋" w:eastAsia="仿宋"/>
          <w:color w:val="000000"/>
          <w:sz w:val="32"/>
          <w:szCs w:val="32"/>
        </w:rPr>
        <w:t>地区生产总值744597万元，按可比价计算比上年减1.4%，第一产业增加值478123万元，比上年增长6.4%；第二产业增加值29680万元，比上年增长1.5%；第三产业增加值236794万元，比上年减12.2%。三次产业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构成</w:t>
      </w:r>
      <w:r>
        <w:rPr>
          <w:rFonts w:hint="eastAsia" w:ascii="仿宋" w:hAnsi="仿宋" w:eastAsia="仿宋"/>
          <w:color w:val="000000"/>
          <w:sz w:val="32"/>
          <w:szCs w:val="32"/>
        </w:rPr>
        <w:t>为64.2:4.0:31.8。人均国内生产总值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195947</w:t>
      </w:r>
      <w:r>
        <w:rPr>
          <w:rFonts w:hint="eastAsia" w:ascii="仿宋" w:hAnsi="仿宋" w:eastAsia="仿宋"/>
          <w:color w:val="000000"/>
          <w:sz w:val="32"/>
          <w:szCs w:val="32"/>
        </w:rPr>
        <w:t>元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</w:rPr>
        <w:t>。</w:t>
      </w:r>
    </w:p>
    <w:p>
      <w:pPr>
        <w:jc w:val="center"/>
      </w:pPr>
      <w:r>
        <w:drawing>
          <wp:inline distT="0" distB="0" distL="114300" distR="114300">
            <wp:extent cx="5287645" cy="2573020"/>
            <wp:effectExtent l="4445" t="4445" r="22860" b="13335"/>
            <wp:docPr id="9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5285740" cy="2761615"/>
            <wp:effectExtent l="4445" t="4445" r="5715" b="15240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ind w:firstLine="480" w:firstLineChars="200"/>
        <w:rPr>
          <w:rFonts w:hint="eastAsia"/>
        </w:rPr>
      </w:pP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ab/>
      </w:r>
      <w:r>
        <w:rPr>
          <w:rFonts w:hint="eastAsia" w:ascii="仿宋" w:hAnsi="仿宋" w:eastAsia="仿宋"/>
          <w:color w:val="000000"/>
          <w:sz w:val="32"/>
          <w:szCs w:val="32"/>
        </w:rPr>
        <w:t>一、农林牧渔业</w:t>
      </w:r>
      <w:r>
        <w:rPr>
          <w:rFonts w:hint="eastAsia" w:ascii="仿宋" w:hAnsi="仿宋" w:eastAsia="仿宋"/>
          <w:color w:val="000000"/>
          <w:sz w:val="32"/>
          <w:szCs w:val="32"/>
        </w:rPr>
        <w:tab/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全区农业机械总动力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80741</w:t>
      </w:r>
      <w:r>
        <w:rPr>
          <w:rFonts w:hint="eastAsia" w:ascii="仿宋" w:hAnsi="仿宋" w:eastAsia="仿宋"/>
          <w:color w:val="000000"/>
          <w:sz w:val="32"/>
          <w:szCs w:val="32"/>
        </w:rPr>
        <w:t>千瓦，其中渔业船舶总功率42811千瓦。全区渔业船舶拥有量达2351艘，其中捕捞渔船191艘、养殖渔船2144艘。全区渔业船舶总吨位11540吨。全年水产品总产量达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41.5</w:t>
      </w:r>
      <w:r>
        <w:rPr>
          <w:rFonts w:hint="eastAsia" w:ascii="仿宋" w:hAnsi="仿宋" w:eastAsia="仿宋"/>
          <w:color w:val="000000"/>
          <w:sz w:val="32"/>
          <w:szCs w:val="32"/>
        </w:rPr>
        <w:t>万吨，比上年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增3</w:t>
      </w:r>
      <w:r>
        <w:rPr>
          <w:rFonts w:hint="eastAsia" w:ascii="仿宋" w:hAnsi="仿宋" w:eastAsia="仿宋"/>
          <w:color w:val="000000"/>
          <w:sz w:val="32"/>
          <w:szCs w:val="32"/>
        </w:rPr>
        <w:t>%,其中养殖产量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31.9</w:t>
      </w:r>
      <w:r>
        <w:rPr>
          <w:rFonts w:hint="eastAsia" w:ascii="仿宋" w:hAnsi="仿宋" w:eastAsia="仿宋"/>
          <w:color w:val="000000"/>
          <w:sz w:val="32"/>
          <w:szCs w:val="32"/>
        </w:rPr>
        <w:t>万吨，比上年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增</w:t>
      </w:r>
      <w:r>
        <w:rPr>
          <w:rFonts w:hint="eastAsia" w:ascii="仿宋" w:hAnsi="仿宋" w:eastAsia="仿宋"/>
          <w:color w:val="000000"/>
          <w:sz w:val="32"/>
          <w:szCs w:val="32"/>
        </w:rPr>
        <w:t>4.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000000"/>
          <w:sz w:val="32"/>
          <w:szCs w:val="32"/>
        </w:rPr>
        <w:t>%，捕捞产量9.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</w:rPr>
        <w:t>万吨，比上年减1.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 w:val="32"/>
          <w:szCs w:val="32"/>
        </w:rPr>
        <w:t>%。实现农业总产值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910485</w:t>
      </w:r>
      <w:r>
        <w:rPr>
          <w:rFonts w:hint="eastAsia" w:ascii="仿宋" w:hAnsi="仿宋" w:eastAsia="仿宋"/>
          <w:color w:val="00000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增</w:t>
      </w:r>
      <w:r>
        <w:rPr>
          <w:rFonts w:hint="eastAsia" w:ascii="仿宋" w:hAnsi="仿宋" w:eastAsia="仿宋"/>
          <w:color w:val="000000"/>
          <w:sz w:val="32"/>
          <w:szCs w:val="32"/>
        </w:rPr>
        <w:t>3%，其中：渔业产值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802683</w:t>
      </w:r>
      <w:r>
        <w:rPr>
          <w:rFonts w:hint="eastAsia" w:ascii="仿宋" w:hAnsi="仿宋" w:eastAsia="仿宋"/>
          <w:color w:val="000000"/>
          <w:sz w:val="32"/>
          <w:szCs w:val="32"/>
        </w:rPr>
        <w:t>万元，比上年增长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10.3</w:t>
      </w:r>
      <w:r>
        <w:rPr>
          <w:rFonts w:hint="eastAsia" w:ascii="仿宋" w:hAnsi="仿宋" w:eastAsia="仿宋"/>
          <w:color w:val="000000"/>
          <w:sz w:val="32"/>
          <w:szCs w:val="32"/>
        </w:rPr>
        <w:t>%。全区耕地面积135.68公顷。主要农产品产量：粮食总产量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148.34</w:t>
      </w:r>
      <w:r>
        <w:rPr>
          <w:rFonts w:hint="eastAsia" w:ascii="仿宋" w:hAnsi="仿宋" w:eastAsia="仿宋"/>
          <w:color w:val="000000"/>
          <w:sz w:val="32"/>
          <w:szCs w:val="32"/>
        </w:rPr>
        <w:t>吨，比上年减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52.5</w:t>
      </w:r>
      <w:r>
        <w:rPr>
          <w:rFonts w:hint="eastAsia" w:ascii="仿宋" w:hAnsi="仿宋" w:eastAsia="仿宋"/>
          <w:color w:val="000000"/>
          <w:sz w:val="32"/>
          <w:szCs w:val="32"/>
        </w:rPr>
        <w:t>%；水果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产量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518</w:t>
      </w:r>
      <w:r>
        <w:rPr>
          <w:rFonts w:hint="eastAsia" w:ascii="仿宋" w:hAnsi="仿宋" w:eastAsia="仿宋"/>
          <w:color w:val="000000"/>
          <w:sz w:val="32"/>
          <w:szCs w:val="32"/>
        </w:rPr>
        <w:t>吨，比上年增长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31.6</w:t>
      </w:r>
      <w:r>
        <w:rPr>
          <w:rFonts w:hint="eastAsia" w:ascii="仿宋" w:hAnsi="仿宋" w:eastAsia="仿宋"/>
          <w:color w:val="000000"/>
          <w:sz w:val="32"/>
          <w:szCs w:val="32"/>
        </w:rPr>
        <w:t>%；肉类总产量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20.23</w:t>
      </w:r>
      <w:r>
        <w:rPr>
          <w:rFonts w:hint="eastAsia" w:ascii="仿宋" w:hAnsi="仿宋" w:eastAsia="仿宋"/>
          <w:color w:val="000000"/>
          <w:sz w:val="32"/>
          <w:szCs w:val="32"/>
        </w:rPr>
        <w:t>吨，比上年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增237.2%</w:t>
      </w:r>
      <w:r>
        <w:rPr>
          <w:rFonts w:hint="eastAsia" w:ascii="仿宋" w:hAnsi="仿宋" w:eastAsia="仿宋"/>
          <w:color w:val="000000"/>
          <w:sz w:val="32"/>
          <w:szCs w:val="32"/>
        </w:rPr>
        <w:t>；禽蛋类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1.25</w:t>
      </w:r>
      <w:r>
        <w:rPr>
          <w:rFonts w:hint="eastAsia" w:ascii="仿宋" w:hAnsi="仿宋" w:eastAsia="仿宋"/>
          <w:color w:val="000000"/>
          <w:sz w:val="32"/>
          <w:szCs w:val="32"/>
        </w:rPr>
        <w:t>吨，比上年减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92</w:t>
      </w:r>
      <w:r>
        <w:rPr>
          <w:rFonts w:hint="eastAsia" w:ascii="仿宋" w:hAnsi="仿宋" w:eastAsia="仿宋"/>
          <w:color w:val="000000"/>
          <w:sz w:val="32"/>
          <w:szCs w:val="32"/>
        </w:rPr>
        <w:t>%。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全年农林牧渔业增加值529153万元，比上年增长1.1%。其中渔业增加值477401万元，比上年增长8.5%；农林牧渔服务业增加值51030万元，比上年减27.9%。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二、工业和建筑业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全年全部工业实现增加值12645万元，比上年增长2.3%。全区规模以上工业企业7家。规模以上工业实现增加值7562万元，比上年增长2.4%；实现工业总产值36845万元，比上年增长4.5%；产品销售收入38790万元，比上年减2.9%；利润总额942万元，比上年增长2.5%；利税1735万元，比上年增长17.3%。全区用电量16398万千瓦时，比上年增长4.8%，其中工业用电3812万千瓦时，比上年增长65.3%。全区建筑业实现增加值17909万元，比上年减0.1%。</w:t>
      </w:r>
    </w:p>
    <w:p>
      <w:pPr>
        <w:jc w:val="center"/>
      </w:pPr>
      <w:r>
        <w:drawing>
          <wp:inline distT="0" distB="0" distL="114300" distR="114300">
            <wp:extent cx="5279390" cy="2506980"/>
            <wp:effectExtent l="4445" t="4445" r="12065" b="22225"/>
            <wp:docPr id="4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10810" cy="2533650"/>
            <wp:effectExtent l="4445" t="4445" r="23495" b="14605"/>
            <wp:docPr id="5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三、固定资产投资、交通运输和邮电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全年规模以上固定资产投资比上年增长5.5%，其中：民间投资比上年增长16%，“四新”经济投资占固定资产投资比重提高1.57个百分点。全年房地产开发投资完成20597万元，比上年减7.6%。</w:t>
      </w:r>
    </w:p>
    <w:p>
      <w:pPr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drawing>
          <wp:inline distT="0" distB="0" distL="114300" distR="114300">
            <wp:extent cx="5257800" cy="2649220"/>
            <wp:effectExtent l="4445" t="4445" r="14605" b="13335"/>
            <wp:docPr id="8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全区交通运输、仓储和邮政业完成增加值2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6575</w:t>
      </w:r>
      <w:r>
        <w:rPr>
          <w:rFonts w:hint="eastAsia" w:ascii="仿宋" w:hAnsi="仿宋" w:eastAsia="仿宋"/>
          <w:color w:val="00000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0.5</w:t>
      </w:r>
      <w:r>
        <w:rPr>
          <w:rFonts w:hint="eastAsia" w:ascii="仿宋" w:hAnsi="仿宋" w:eastAsia="仿宋"/>
          <w:color w:val="000000"/>
          <w:sz w:val="32"/>
          <w:szCs w:val="32"/>
        </w:rPr>
        <w:t>%。有各类营运船舶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89</w:t>
      </w:r>
      <w:r>
        <w:rPr>
          <w:rFonts w:hint="eastAsia" w:ascii="仿宋" w:hAnsi="仿宋" w:eastAsia="仿宋"/>
          <w:color w:val="000000"/>
          <w:sz w:val="32"/>
          <w:szCs w:val="32"/>
        </w:rPr>
        <w:t>艘，载重吨7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3116</w:t>
      </w:r>
      <w:r>
        <w:rPr>
          <w:rFonts w:hint="eastAsia" w:ascii="仿宋" w:hAnsi="仿宋" w:eastAsia="仿宋"/>
          <w:color w:val="000000"/>
          <w:sz w:val="32"/>
          <w:szCs w:val="32"/>
        </w:rPr>
        <w:t>.8吨，客位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9962</w:t>
      </w:r>
      <w:r>
        <w:rPr>
          <w:rFonts w:hint="eastAsia" w:ascii="仿宋" w:hAnsi="仿宋" w:eastAsia="仿宋"/>
          <w:color w:val="000000"/>
          <w:sz w:val="32"/>
          <w:szCs w:val="32"/>
        </w:rPr>
        <w:t>个，其中客（货）滚船1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z w:val="32"/>
          <w:szCs w:val="32"/>
        </w:rPr>
        <w:t>艘，载重吨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000000"/>
          <w:sz w:val="32"/>
          <w:szCs w:val="32"/>
        </w:rPr>
        <w:t>76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z w:val="32"/>
          <w:szCs w:val="32"/>
        </w:rPr>
        <w:t>.8吨，客位4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/>
          <w:color w:val="000000"/>
          <w:sz w:val="32"/>
          <w:szCs w:val="32"/>
        </w:rPr>
        <w:t>5个。年末实有公共汽（电）车营运车辆90辆。本地固定电话年末用户7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498</w:t>
      </w:r>
      <w:r>
        <w:rPr>
          <w:rFonts w:hint="eastAsia" w:ascii="仿宋" w:hAnsi="仿宋" w:eastAsia="仿宋"/>
          <w:color w:val="000000"/>
          <w:sz w:val="32"/>
          <w:szCs w:val="32"/>
        </w:rPr>
        <w:t>户，移动电话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627</w:t>
      </w:r>
      <w:r>
        <w:rPr>
          <w:rFonts w:hint="eastAsia" w:ascii="仿宋" w:hAnsi="仿宋" w:eastAsia="仿宋"/>
          <w:color w:val="000000"/>
          <w:sz w:val="32"/>
          <w:szCs w:val="32"/>
        </w:rPr>
        <w:t>00部,互联网宽带接入用户1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 w:val="32"/>
          <w:szCs w:val="32"/>
        </w:rPr>
        <w:t>0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color w:val="000000"/>
          <w:sz w:val="32"/>
          <w:szCs w:val="32"/>
        </w:rPr>
        <w:t>3户。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四、旅游、批发零售、住宿餐饮和对外经济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全年实现旅游综合收入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38.14</w:t>
      </w:r>
      <w:r>
        <w:rPr>
          <w:rFonts w:hint="eastAsia" w:ascii="仿宋" w:hAnsi="仿宋" w:eastAsia="仿宋"/>
          <w:color w:val="000000"/>
          <w:sz w:val="32"/>
          <w:szCs w:val="32"/>
        </w:rPr>
        <w:t>亿元,比上年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color w:val="000000"/>
          <w:sz w:val="32"/>
          <w:szCs w:val="32"/>
        </w:rPr>
        <w:t>%。全年接待游客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261.55</w:t>
      </w:r>
      <w:r>
        <w:rPr>
          <w:rFonts w:hint="eastAsia" w:ascii="仿宋" w:hAnsi="仿宋" w:eastAsia="仿宋"/>
          <w:color w:val="000000"/>
          <w:sz w:val="32"/>
          <w:szCs w:val="32"/>
        </w:rPr>
        <w:t>万人次，比上年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28.9</w:t>
      </w:r>
      <w:r>
        <w:rPr>
          <w:rFonts w:hint="eastAsia" w:ascii="仿宋" w:hAnsi="仿宋" w:eastAsia="仿宋"/>
          <w:color w:val="000000"/>
          <w:sz w:val="32"/>
          <w:szCs w:val="32"/>
        </w:rPr>
        <w:t>%。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全年消费品零售总额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151457万元，</w:t>
      </w:r>
      <w:r>
        <w:rPr>
          <w:rFonts w:hint="eastAsia" w:ascii="仿宋" w:hAnsi="仿宋" w:eastAsia="仿宋"/>
          <w:color w:val="000000"/>
          <w:sz w:val="32"/>
          <w:szCs w:val="32"/>
        </w:rPr>
        <w:t>同比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2.9</w:t>
      </w:r>
      <w:r>
        <w:rPr>
          <w:rFonts w:hint="eastAsia" w:ascii="仿宋" w:hAnsi="仿宋" w:eastAsia="仿宋"/>
          <w:color w:val="000000"/>
          <w:sz w:val="32"/>
          <w:szCs w:val="32"/>
        </w:rPr>
        <w:t>%。其中限上批发和零售业实现销售额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8935</w:t>
      </w:r>
      <w:r>
        <w:rPr>
          <w:rFonts w:hint="eastAsia" w:ascii="仿宋" w:hAnsi="仿宋" w:eastAsia="仿宋"/>
          <w:color w:val="000000"/>
          <w:sz w:val="32"/>
          <w:szCs w:val="32"/>
        </w:rPr>
        <w:t>万元，同比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47.1</w:t>
      </w:r>
      <w:r>
        <w:rPr>
          <w:rFonts w:hint="eastAsia" w:ascii="仿宋" w:hAnsi="仿宋" w:eastAsia="仿宋"/>
          <w:color w:val="000000"/>
          <w:sz w:val="32"/>
          <w:szCs w:val="32"/>
        </w:rPr>
        <w:t>%;住宿和餐饮业实现营业额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1302</w:t>
      </w:r>
      <w:r>
        <w:rPr>
          <w:rFonts w:hint="eastAsia" w:ascii="仿宋" w:hAnsi="仿宋" w:eastAsia="仿宋"/>
          <w:color w:val="000000"/>
          <w:sz w:val="32"/>
          <w:szCs w:val="32"/>
        </w:rPr>
        <w:t>万元，同比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28.1</w:t>
      </w:r>
      <w:r>
        <w:rPr>
          <w:rFonts w:hint="eastAsia" w:ascii="仿宋" w:hAnsi="仿宋" w:eastAsia="仿宋"/>
          <w:color w:val="000000"/>
          <w:sz w:val="32"/>
          <w:szCs w:val="32"/>
        </w:rPr>
        <w:t>%。</w:t>
      </w:r>
    </w:p>
    <w:p>
      <w:pPr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drawing>
          <wp:inline distT="0" distB="0" distL="114300" distR="114300">
            <wp:extent cx="5276850" cy="2694940"/>
            <wp:effectExtent l="4445" t="4445" r="14605" b="5715"/>
            <wp:docPr id="6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全年实现进出口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总额</w:t>
      </w:r>
      <w:r>
        <w:rPr>
          <w:rFonts w:hint="eastAsia" w:ascii="仿宋" w:hAnsi="仿宋" w:eastAsia="仿宋"/>
          <w:color w:val="000000"/>
          <w:sz w:val="32"/>
          <w:szCs w:val="32"/>
        </w:rPr>
        <w:t>36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232</w:t>
      </w:r>
      <w:r>
        <w:rPr>
          <w:rFonts w:hint="eastAsia" w:ascii="仿宋" w:hAnsi="仿宋" w:eastAsia="仿宋"/>
          <w:color w:val="000000"/>
          <w:sz w:val="32"/>
          <w:szCs w:val="32"/>
        </w:rPr>
        <w:t>万元，比上年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1.7</w:t>
      </w:r>
      <w:r>
        <w:rPr>
          <w:rFonts w:hint="eastAsia" w:ascii="仿宋" w:hAnsi="仿宋" w:eastAsia="仿宋"/>
          <w:color w:val="000000"/>
          <w:sz w:val="32"/>
          <w:szCs w:val="32"/>
        </w:rPr>
        <w:t>%，其中出口总额3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4105</w:t>
      </w:r>
      <w:r>
        <w:rPr>
          <w:rFonts w:hint="eastAsia" w:ascii="仿宋" w:hAnsi="仿宋" w:eastAsia="仿宋"/>
          <w:color w:val="000000"/>
          <w:sz w:val="32"/>
          <w:szCs w:val="32"/>
        </w:rPr>
        <w:t>万元，比上年增长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color w:val="000000"/>
          <w:sz w:val="32"/>
          <w:szCs w:val="32"/>
        </w:rPr>
        <w:t xml:space="preserve">%。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五、财政、金融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公共财政预算内收入完成14360万元，与上年持平。一般公共预算收入中税收收入占比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78</w:t>
      </w:r>
      <w:r>
        <w:rPr>
          <w:rFonts w:hint="eastAsia" w:ascii="仿宋" w:hAnsi="仿宋" w:eastAsia="仿宋"/>
          <w:color w:val="000000"/>
          <w:sz w:val="32"/>
          <w:szCs w:val="32"/>
        </w:rPr>
        <w:t>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color w:val="000000"/>
          <w:sz w:val="32"/>
          <w:szCs w:val="32"/>
        </w:rPr>
        <w:t>%，同比下降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000000"/>
          <w:sz w:val="32"/>
          <w:szCs w:val="32"/>
        </w:rPr>
        <w:t>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</w:rPr>
        <w:t>个百分点。一般公共预算支出1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49742</w:t>
      </w:r>
      <w:r>
        <w:rPr>
          <w:rFonts w:hint="eastAsia" w:ascii="仿宋" w:hAnsi="仿宋" w:eastAsia="仿宋"/>
          <w:color w:val="000000"/>
          <w:sz w:val="32"/>
          <w:szCs w:val="32"/>
        </w:rPr>
        <w:t>万元，比上年增长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37.2</w:t>
      </w:r>
      <w:r>
        <w:rPr>
          <w:rFonts w:hint="eastAsia" w:ascii="仿宋" w:hAnsi="仿宋" w:eastAsia="仿宋"/>
          <w:color w:val="000000"/>
          <w:sz w:val="32"/>
          <w:szCs w:val="32"/>
        </w:rPr>
        <w:t>%。全区税收收入2.1亿元，比上年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3.5</w:t>
      </w:r>
      <w:r>
        <w:rPr>
          <w:rFonts w:hint="eastAsia" w:ascii="仿宋" w:hAnsi="仿宋" w:eastAsia="仿宋"/>
          <w:color w:val="000000"/>
          <w:sz w:val="32"/>
          <w:szCs w:val="32"/>
        </w:rPr>
        <w:t>%。分产业看，第二产业实现税收0.8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color w:val="000000"/>
          <w:sz w:val="32"/>
          <w:szCs w:val="32"/>
        </w:rPr>
        <w:t>亿元，同比增长5.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</w:rPr>
        <w:t>%，第三产业实现税收1.2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z w:val="32"/>
          <w:szCs w:val="32"/>
        </w:rPr>
        <w:t>亿元，同比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下降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color w:val="000000"/>
          <w:sz w:val="32"/>
          <w:szCs w:val="32"/>
        </w:rPr>
        <w:t>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</w:rPr>
        <w:t>%。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年末金融机构各项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人民币</w:t>
      </w:r>
      <w:r>
        <w:rPr>
          <w:rFonts w:hint="eastAsia" w:ascii="仿宋" w:hAnsi="仿宋" w:eastAsia="仿宋"/>
          <w:color w:val="000000"/>
          <w:sz w:val="32"/>
          <w:szCs w:val="32"/>
        </w:rPr>
        <w:t>存款余额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49</w:t>
      </w:r>
      <w:r>
        <w:rPr>
          <w:rFonts w:hint="eastAsia" w:ascii="仿宋" w:hAnsi="仿宋" w:eastAsia="仿宋"/>
          <w:color w:val="000000"/>
          <w:sz w:val="32"/>
          <w:szCs w:val="32"/>
        </w:rPr>
        <w:t>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000000"/>
          <w:sz w:val="32"/>
          <w:szCs w:val="32"/>
        </w:rPr>
        <w:t>亿元，比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年初增加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1.3亿元</w:t>
      </w:r>
      <w:r>
        <w:rPr>
          <w:rFonts w:hint="eastAsia" w:ascii="仿宋" w:hAnsi="仿宋" w:eastAsia="仿宋"/>
          <w:color w:val="000000"/>
          <w:sz w:val="32"/>
          <w:szCs w:val="32"/>
        </w:rPr>
        <w:t>，其中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人民币住户</w:t>
      </w:r>
      <w:r>
        <w:rPr>
          <w:rFonts w:hint="eastAsia" w:ascii="仿宋" w:hAnsi="仿宋" w:eastAsia="仿宋"/>
          <w:color w:val="000000"/>
          <w:sz w:val="32"/>
          <w:szCs w:val="32"/>
        </w:rPr>
        <w:t>存款3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</w:rPr>
        <w:t>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</w:rPr>
        <w:t>亿元，比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年初增加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4.1亿元</w:t>
      </w:r>
      <w:r>
        <w:rPr>
          <w:rFonts w:hint="eastAsia" w:ascii="仿宋" w:hAnsi="仿宋" w:eastAsia="仿宋"/>
          <w:color w:val="000000"/>
          <w:sz w:val="32"/>
          <w:szCs w:val="32"/>
        </w:rPr>
        <w:t>；金融机构各项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人民币</w:t>
      </w:r>
      <w:r>
        <w:rPr>
          <w:rFonts w:hint="eastAsia" w:ascii="仿宋" w:hAnsi="仿宋" w:eastAsia="仿宋"/>
          <w:color w:val="000000"/>
          <w:sz w:val="32"/>
          <w:szCs w:val="32"/>
        </w:rPr>
        <w:t>贷款余额1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000000"/>
          <w:sz w:val="32"/>
          <w:szCs w:val="32"/>
        </w:rPr>
        <w:t>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color w:val="000000"/>
          <w:sz w:val="32"/>
          <w:szCs w:val="32"/>
        </w:rPr>
        <w:t>亿元，比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年初增加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1.6亿元</w:t>
      </w:r>
      <w:r>
        <w:rPr>
          <w:rFonts w:hint="eastAsia" w:ascii="仿宋" w:hAnsi="仿宋" w:eastAsia="仿宋"/>
          <w:color w:val="000000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六、教育、文化、卫生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全年实有中等专业、中小学校7所。其中中等专业技术学校1所，普通中学3所，小学3所。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普通中学</w:t>
      </w:r>
      <w:r>
        <w:rPr>
          <w:rFonts w:hint="eastAsia" w:ascii="仿宋" w:hAnsi="仿宋" w:eastAsia="仿宋"/>
          <w:color w:val="000000"/>
          <w:sz w:val="32"/>
          <w:szCs w:val="32"/>
        </w:rPr>
        <w:t>专任教师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223</w:t>
      </w:r>
      <w:r>
        <w:rPr>
          <w:rFonts w:hint="eastAsia" w:ascii="仿宋" w:hAnsi="仿宋" w:eastAsia="仿宋"/>
          <w:color w:val="000000"/>
          <w:sz w:val="32"/>
          <w:szCs w:val="32"/>
        </w:rPr>
        <w:t>人，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小学专任教师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128人，普通中学</w:t>
      </w:r>
      <w:r>
        <w:rPr>
          <w:rFonts w:hint="eastAsia" w:ascii="仿宋" w:hAnsi="仿宋" w:eastAsia="仿宋"/>
          <w:color w:val="000000"/>
          <w:sz w:val="32"/>
          <w:szCs w:val="32"/>
        </w:rPr>
        <w:t>在校学生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1149</w:t>
      </w:r>
      <w:r>
        <w:rPr>
          <w:rFonts w:hint="eastAsia" w:ascii="仿宋" w:hAnsi="仿宋" w:eastAsia="仿宋"/>
          <w:color w:val="000000"/>
          <w:sz w:val="32"/>
          <w:szCs w:val="32"/>
        </w:rPr>
        <w:t>人,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小学在校学生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841人</w:t>
      </w:r>
      <w:r>
        <w:rPr>
          <w:rFonts w:hint="eastAsia" w:ascii="仿宋" w:hAnsi="仿宋" w:eastAsia="仿宋"/>
          <w:color w:val="000000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全区有剧场影剧院3个,文化馆1个,档案馆1个，图书馆1个。广播、电视人口达到全覆盖。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年末全区拥有卫生机构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/>
          <w:color w:val="000000"/>
          <w:sz w:val="32"/>
          <w:szCs w:val="32"/>
        </w:rPr>
        <w:t>个（其中医院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z w:val="32"/>
          <w:szCs w:val="32"/>
        </w:rPr>
        <w:t>所、疾控中心1所、卫生院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color w:val="000000"/>
          <w:sz w:val="32"/>
          <w:szCs w:val="32"/>
        </w:rPr>
        <w:t>所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、卫生室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20个</w:t>
      </w:r>
      <w:r>
        <w:rPr>
          <w:rFonts w:hint="eastAsia" w:ascii="仿宋" w:hAnsi="仿宋" w:eastAsia="仿宋"/>
          <w:color w:val="000000"/>
          <w:sz w:val="32"/>
          <w:szCs w:val="32"/>
        </w:rPr>
        <w:t>），医疗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卫生机构</w:t>
      </w:r>
      <w:r>
        <w:rPr>
          <w:rFonts w:hint="eastAsia" w:ascii="仿宋" w:hAnsi="仿宋" w:eastAsia="仿宋"/>
          <w:color w:val="000000"/>
          <w:sz w:val="32"/>
          <w:szCs w:val="32"/>
        </w:rPr>
        <w:t>床位247张。拥有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医疗卫生机构技术</w:t>
      </w:r>
      <w:r>
        <w:rPr>
          <w:rFonts w:hint="eastAsia" w:ascii="仿宋" w:hAnsi="仿宋" w:eastAsia="仿宋"/>
          <w:color w:val="000000"/>
          <w:sz w:val="32"/>
          <w:szCs w:val="32"/>
        </w:rPr>
        <w:t>人员3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color w:val="000000"/>
          <w:sz w:val="32"/>
          <w:szCs w:val="32"/>
        </w:rPr>
        <w:t>人，其中执业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（助理）</w:t>
      </w:r>
      <w:r>
        <w:rPr>
          <w:rFonts w:hint="eastAsia" w:ascii="仿宋" w:hAnsi="仿宋" w:eastAsia="仿宋"/>
          <w:color w:val="000000"/>
          <w:sz w:val="32"/>
          <w:szCs w:val="32"/>
        </w:rPr>
        <w:t>医师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101</w:t>
      </w:r>
      <w:r>
        <w:rPr>
          <w:rFonts w:hint="eastAsia" w:ascii="仿宋" w:hAnsi="仿宋" w:eastAsia="仿宋"/>
          <w:color w:val="000000"/>
          <w:sz w:val="32"/>
          <w:szCs w:val="32"/>
        </w:rPr>
        <w:t>人。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七、人口、人民生活和社会保障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全区年末总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户籍</w:t>
      </w:r>
      <w:r>
        <w:rPr>
          <w:rFonts w:hint="eastAsia" w:ascii="仿宋" w:hAnsi="仿宋" w:eastAsia="仿宋"/>
          <w:color w:val="000000"/>
          <w:sz w:val="32"/>
          <w:szCs w:val="32"/>
        </w:rPr>
        <w:t>户数15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082</w:t>
      </w:r>
      <w:r>
        <w:rPr>
          <w:rFonts w:hint="eastAsia" w:ascii="仿宋" w:hAnsi="仿宋" w:eastAsia="仿宋"/>
          <w:color w:val="000000"/>
          <w:sz w:val="32"/>
          <w:szCs w:val="32"/>
        </w:rPr>
        <w:t>户 ,年末总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户籍</w:t>
      </w:r>
      <w:r>
        <w:rPr>
          <w:rFonts w:hint="eastAsia" w:ascii="仿宋" w:hAnsi="仿宋" w:eastAsia="仿宋"/>
          <w:color w:val="000000"/>
          <w:sz w:val="32"/>
          <w:szCs w:val="32"/>
        </w:rPr>
        <w:t>人口4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0898</w:t>
      </w:r>
      <w:r>
        <w:rPr>
          <w:rFonts w:hint="eastAsia" w:ascii="仿宋" w:hAnsi="仿宋" w:eastAsia="仿宋"/>
          <w:color w:val="000000"/>
          <w:sz w:val="32"/>
          <w:szCs w:val="32"/>
        </w:rPr>
        <w:t>人，其中城镇人口2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1944</w:t>
      </w:r>
      <w:r>
        <w:rPr>
          <w:rFonts w:hint="eastAsia" w:ascii="仿宋" w:hAnsi="仿宋" w:eastAsia="仿宋"/>
          <w:color w:val="000000"/>
          <w:sz w:val="32"/>
          <w:szCs w:val="32"/>
        </w:rPr>
        <w:t>人,出生人口2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/>
          <w:color w:val="000000"/>
          <w:sz w:val="32"/>
          <w:szCs w:val="32"/>
        </w:rPr>
        <w:t>人,死亡人口2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84</w:t>
      </w:r>
      <w:r>
        <w:rPr>
          <w:rFonts w:hint="eastAsia" w:ascii="仿宋" w:hAnsi="仿宋" w:eastAsia="仿宋"/>
          <w:color w:val="000000"/>
          <w:sz w:val="32"/>
          <w:szCs w:val="32"/>
        </w:rPr>
        <w:t>人,出生率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</w:rPr>
        <w:t>.18‰,死亡率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</w:rPr>
        <w:t>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91</w:t>
      </w:r>
      <w:r>
        <w:rPr>
          <w:rFonts w:hint="eastAsia" w:ascii="仿宋" w:hAnsi="仿宋" w:eastAsia="仿宋"/>
          <w:color w:val="000000"/>
          <w:sz w:val="32"/>
          <w:szCs w:val="32"/>
        </w:rPr>
        <w:t>‰，自然增长率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-1</w:t>
      </w:r>
      <w:r>
        <w:rPr>
          <w:rFonts w:hint="eastAsia" w:ascii="仿宋" w:hAnsi="仿宋" w:eastAsia="仿宋"/>
          <w:color w:val="000000"/>
          <w:sz w:val="32"/>
          <w:szCs w:val="32"/>
        </w:rPr>
        <w:t>.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73</w:t>
      </w:r>
      <w:r>
        <w:rPr>
          <w:rFonts w:hint="eastAsia" w:ascii="仿宋" w:hAnsi="仿宋" w:eastAsia="仿宋"/>
          <w:color w:val="000000"/>
          <w:sz w:val="32"/>
          <w:szCs w:val="32"/>
        </w:rPr>
        <w:t>‰。</w:t>
      </w:r>
    </w:p>
    <w:p>
      <w:pPr>
        <w:ind w:firstLine="640" w:firstLineChars="200"/>
        <w:jc w:val="left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全体居民人均可支配收入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28779</w:t>
      </w:r>
      <w:r>
        <w:rPr>
          <w:rFonts w:hint="eastAsia" w:ascii="仿宋" w:hAnsi="仿宋" w:eastAsia="仿宋"/>
          <w:color w:val="000000"/>
          <w:sz w:val="32"/>
          <w:szCs w:val="32"/>
        </w:rPr>
        <w:t>元，比上年增长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000000"/>
          <w:sz w:val="32"/>
          <w:szCs w:val="32"/>
        </w:rPr>
        <w:t>.6%，人均消费支出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17396</w:t>
      </w:r>
      <w:r>
        <w:rPr>
          <w:rFonts w:hint="eastAsia" w:ascii="仿宋" w:hAnsi="仿宋" w:eastAsia="仿宋"/>
          <w:color w:val="000000"/>
          <w:sz w:val="32"/>
          <w:szCs w:val="32"/>
        </w:rPr>
        <w:t>元，比上年增长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2.9</w:t>
      </w:r>
      <w:r>
        <w:rPr>
          <w:rFonts w:hint="eastAsia" w:ascii="仿宋" w:hAnsi="仿宋" w:eastAsia="仿宋"/>
          <w:color w:val="000000"/>
          <w:sz w:val="32"/>
          <w:szCs w:val="32"/>
        </w:rPr>
        <w:t>%。其中城镇居民人均可支配收入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39432</w:t>
      </w:r>
      <w:r>
        <w:rPr>
          <w:rFonts w:hint="eastAsia" w:ascii="仿宋" w:hAnsi="仿宋" w:eastAsia="仿宋"/>
          <w:color w:val="000000"/>
          <w:sz w:val="32"/>
          <w:szCs w:val="32"/>
        </w:rPr>
        <w:t>元，比上年增长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3.4</w:t>
      </w:r>
      <w:r>
        <w:rPr>
          <w:rFonts w:hint="eastAsia" w:ascii="仿宋" w:hAnsi="仿宋" w:eastAsia="仿宋"/>
          <w:color w:val="000000"/>
          <w:sz w:val="32"/>
          <w:szCs w:val="32"/>
        </w:rPr>
        <w:t>%，人均消费性支出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27454</w:t>
      </w:r>
      <w:r>
        <w:rPr>
          <w:rFonts w:hint="eastAsia" w:ascii="仿宋" w:hAnsi="仿宋" w:eastAsia="仿宋"/>
          <w:color w:val="000000"/>
          <w:sz w:val="32"/>
          <w:szCs w:val="32"/>
        </w:rPr>
        <w:t>元，比上年增长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1.7</w:t>
      </w:r>
      <w:r>
        <w:rPr>
          <w:rFonts w:hint="eastAsia" w:ascii="仿宋" w:hAnsi="仿宋" w:eastAsia="仿宋"/>
          <w:color w:val="000000"/>
          <w:sz w:val="32"/>
          <w:szCs w:val="32"/>
        </w:rPr>
        <w:t>%；农村居民人均可支配收入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25585</w:t>
      </w:r>
      <w:r>
        <w:rPr>
          <w:rFonts w:hint="eastAsia" w:ascii="仿宋" w:hAnsi="仿宋" w:eastAsia="仿宋"/>
          <w:color w:val="000000"/>
          <w:sz w:val="32"/>
          <w:szCs w:val="32"/>
        </w:rPr>
        <w:t>元，比上年增长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5.4</w:t>
      </w:r>
      <w:r>
        <w:rPr>
          <w:rFonts w:hint="eastAsia" w:ascii="仿宋" w:hAnsi="仿宋" w:eastAsia="仿宋"/>
          <w:color w:val="000000"/>
          <w:sz w:val="32"/>
          <w:szCs w:val="32"/>
        </w:rPr>
        <w:t>%，人均消费支出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13911</w:t>
      </w:r>
      <w:r>
        <w:rPr>
          <w:rFonts w:hint="eastAsia" w:ascii="仿宋" w:hAnsi="仿宋" w:eastAsia="仿宋"/>
          <w:color w:val="000000"/>
          <w:sz w:val="32"/>
          <w:szCs w:val="32"/>
        </w:rPr>
        <w:t>元，比上年增长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2.3</w:t>
      </w:r>
      <w:r>
        <w:rPr>
          <w:rFonts w:hint="eastAsia" w:ascii="仿宋" w:hAnsi="仿宋" w:eastAsia="仿宋"/>
          <w:color w:val="000000"/>
          <w:sz w:val="32"/>
          <w:szCs w:val="32"/>
        </w:rPr>
        <w:t>%。</w:t>
      </w:r>
    </w:p>
    <w:p>
      <w:pPr>
        <w:jc w:val="center"/>
        <w:rPr>
          <w:rFonts w:hint="eastAsia" w:ascii="仿宋" w:hAnsi="仿宋" w:eastAsia="仿宋"/>
          <w:color w:val="000000"/>
          <w:sz w:val="32"/>
          <w:szCs w:val="32"/>
        </w:rPr>
      </w:pPr>
      <w:r>
        <w:drawing>
          <wp:inline distT="0" distB="0" distL="114300" distR="114300">
            <wp:extent cx="5221605" cy="2648585"/>
            <wp:effectExtent l="4445" t="4445" r="12700" b="13970"/>
            <wp:docPr id="3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全区城乡居民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基本</w:t>
      </w:r>
      <w:r>
        <w:rPr>
          <w:rFonts w:hint="eastAsia" w:ascii="仿宋" w:hAnsi="仿宋" w:eastAsia="仿宋"/>
          <w:color w:val="000000"/>
          <w:sz w:val="32"/>
          <w:szCs w:val="32"/>
        </w:rPr>
        <w:t>养老保险参保人数17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604</w:t>
      </w:r>
      <w:r>
        <w:rPr>
          <w:rFonts w:hint="eastAsia" w:ascii="仿宋" w:hAnsi="仿宋" w:eastAsia="仿宋"/>
          <w:color w:val="000000"/>
          <w:sz w:val="32"/>
          <w:szCs w:val="32"/>
        </w:rPr>
        <w:t>人，城乡居民医疗保险参保人数21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898</w:t>
      </w:r>
      <w:r>
        <w:rPr>
          <w:rFonts w:hint="eastAsia" w:ascii="仿宋" w:hAnsi="仿宋" w:eastAsia="仿宋"/>
          <w:color w:val="000000"/>
          <w:sz w:val="32"/>
          <w:szCs w:val="32"/>
        </w:rPr>
        <w:t>人。全区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提供住宿的社会工作机构</w:t>
      </w:r>
      <w:r>
        <w:rPr>
          <w:rFonts w:hint="eastAsia" w:ascii="仿宋" w:hAnsi="仿宋" w:eastAsia="仿宋"/>
          <w:color w:val="000000"/>
          <w:sz w:val="32"/>
          <w:szCs w:val="32"/>
        </w:rPr>
        <w:t>2个，床位数80个。城乡居民最低保障人数3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00</w:t>
      </w:r>
      <w:r>
        <w:rPr>
          <w:rFonts w:hint="eastAsia" w:ascii="仿宋" w:hAnsi="仿宋" w:eastAsia="仿宋"/>
          <w:color w:val="000000"/>
          <w:sz w:val="32"/>
          <w:szCs w:val="32"/>
        </w:rPr>
        <w:t>人。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注：</w:t>
      </w:r>
    </w:p>
    <w:p>
      <w:pPr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1、本公报中数据均为初步统计数。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2、地区生产总值、各产业增加值绝对数按当年价格计算，增长速度按可比价格计算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</w:p>
    <w:p>
      <w:pPr>
        <w:rPr>
          <w:rFonts w:hint="eastAsia" w:ascii="仿宋" w:hAnsi="仿宋" w:eastAsia="仿宋"/>
          <w:color w:val="000000"/>
          <w:sz w:val="32"/>
          <w:szCs w:val="32"/>
        </w:rPr>
      </w:pPr>
    </w:p>
    <w:p>
      <w:pPr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 xml:space="preserve">                               长岛综合试验区经济发展局</w:t>
      </w:r>
    </w:p>
    <w:p>
      <w:pPr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 xml:space="preserve">                                    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color w:val="000000"/>
          <w:sz w:val="32"/>
          <w:szCs w:val="32"/>
        </w:rPr>
        <w:t>日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6"/>
          <w:szCs w:val="36"/>
        </w:rPr>
        <w:pict>
          <v:rect id="_x0000_i1026" o:spt="1" style="height:1pt;width:472.3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长岛综合试验区经济发展局                 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9日</w:t>
      </w:r>
      <w:r>
        <w:rPr>
          <w:rFonts w:hint="eastAsia" w:ascii="仿宋" w:hAnsi="仿宋" w:eastAsia="仿宋"/>
          <w:sz w:val="32"/>
          <w:szCs w:val="32"/>
        </w:rPr>
        <w:t>印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Theme="majorEastAsia" w:hAnsiTheme="majorEastAsia" w:eastAsiaTheme="majorEastAsia"/>
          <w:sz w:val="36"/>
          <w:szCs w:val="36"/>
        </w:rPr>
        <w:pict>
          <v:rect id="_x0000_i1027" o:spt="1" style="height:1pt;width:472.3pt;" fillcolor="#00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sectPr>
      <w:headerReference r:id="rId3" w:type="default"/>
      <w:pgSz w:w="11906" w:h="16838"/>
      <w:pgMar w:top="1440" w:right="1230" w:bottom="1440" w:left="123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00B"/>
    <w:rsid w:val="0000283E"/>
    <w:rsid w:val="00005165"/>
    <w:rsid w:val="0000750A"/>
    <w:rsid w:val="000174E6"/>
    <w:rsid w:val="000206BA"/>
    <w:rsid w:val="00031BCB"/>
    <w:rsid w:val="0004340C"/>
    <w:rsid w:val="00044E89"/>
    <w:rsid w:val="00051C36"/>
    <w:rsid w:val="0005459B"/>
    <w:rsid w:val="00060BEB"/>
    <w:rsid w:val="000654F3"/>
    <w:rsid w:val="00065A01"/>
    <w:rsid w:val="00072AC0"/>
    <w:rsid w:val="00073E2C"/>
    <w:rsid w:val="0007456F"/>
    <w:rsid w:val="00074CD5"/>
    <w:rsid w:val="00091F26"/>
    <w:rsid w:val="00092555"/>
    <w:rsid w:val="00094DBD"/>
    <w:rsid w:val="000967CD"/>
    <w:rsid w:val="000B1B99"/>
    <w:rsid w:val="000B3B9A"/>
    <w:rsid w:val="000D02B9"/>
    <w:rsid w:val="000D33AA"/>
    <w:rsid w:val="000D5022"/>
    <w:rsid w:val="000E1F78"/>
    <w:rsid w:val="000E4EDC"/>
    <w:rsid w:val="000E7034"/>
    <w:rsid w:val="000F5C01"/>
    <w:rsid w:val="000F6A81"/>
    <w:rsid w:val="000F7EA6"/>
    <w:rsid w:val="00100957"/>
    <w:rsid w:val="0010484D"/>
    <w:rsid w:val="0010719C"/>
    <w:rsid w:val="00117F18"/>
    <w:rsid w:val="0012262B"/>
    <w:rsid w:val="00123FCE"/>
    <w:rsid w:val="001360D6"/>
    <w:rsid w:val="00141462"/>
    <w:rsid w:val="001453D4"/>
    <w:rsid w:val="00165EEF"/>
    <w:rsid w:val="00170D17"/>
    <w:rsid w:val="00171FEB"/>
    <w:rsid w:val="00174424"/>
    <w:rsid w:val="001777EE"/>
    <w:rsid w:val="001803EE"/>
    <w:rsid w:val="00195A9B"/>
    <w:rsid w:val="00195CAC"/>
    <w:rsid w:val="001A3ACC"/>
    <w:rsid w:val="001A56E2"/>
    <w:rsid w:val="001B55D2"/>
    <w:rsid w:val="001C4A0B"/>
    <w:rsid w:val="001C7B5E"/>
    <w:rsid w:val="001D7AC9"/>
    <w:rsid w:val="001D7FA0"/>
    <w:rsid w:val="001E17EB"/>
    <w:rsid w:val="001F0BF0"/>
    <w:rsid w:val="001F7189"/>
    <w:rsid w:val="0020075F"/>
    <w:rsid w:val="00202E23"/>
    <w:rsid w:val="00210B0F"/>
    <w:rsid w:val="002249D3"/>
    <w:rsid w:val="00224E56"/>
    <w:rsid w:val="00226A8B"/>
    <w:rsid w:val="00227D18"/>
    <w:rsid w:val="002328C7"/>
    <w:rsid w:val="00241972"/>
    <w:rsid w:val="00254D36"/>
    <w:rsid w:val="0025573F"/>
    <w:rsid w:val="0025799B"/>
    <w:rsid w:val="00263A59"/>
    <w:rsid w:val="002647E2"/>
    <w:rsid w:val="00266079"/>
    <w:rsid w:val="00276231"/>
    <w:rsid w:val="00285AAF"/>
    <w:rsid w:val="002866A8"/>
    <w:rsid w:val="0028693A"/>
    <w:rsid w:val="00287B0F"/>
    <w:rsid w:val="002917A3"/>
    <w:rsid w:val="002A25CD"/>
    <w:rsid w:val="002A6B70"/>
    <w:rsid w:val="002A7943"/>
    <w:rsid w:val="002B1526"/>
    <w:rsid w:val="002B36CF"/>
    <w:rsid w:val="002C4AFC"/>
    <w:rsid w:val="002D336C"/>
    <w:rsid w:val="002E55BE"/>
    <w:rsid w:val="002E70CD"/>
    <w:rsid w:val="002F3301"/>
    <w:rsid w:val="002F59C5"/>
    <w:rsid w:val="0030018D"/>
    <w:rsid w:val="00306BF7"/>
    <w:rsid w:val="003166A4"/>
    <w:rsid w:val="00317C93"/>
    <w:rsid w:val="0032717A"/>
    <w:rsid w:val="00330B55"/>
    <w:rsid w:val="00336987"/>
    <w:rsid w:val="00340A95"/>
    <w:rsid w:val="00344BFA"/>
    <w:rsid w:val="003522C3"/>
    <w:rsid w:val="00360208"/>
    <w:rsid w:val="003707E8"/>
    <w:rsid w:val="00373E6F"/>
    <w:rsid w:val="00383FBB"/>
    <w:rsid w:val="00394F57"/>
    <w:rsid w:val="003C45FB"/>
    <w:rsid w:val="003C5629"/>
    <w:rsid w:val="003E3287"/>
    <w:rsid w:val="003E46DC"/>
    <w:rsid w:val="003E5BC4"/>
    <w:rsid w:val="003E7E26"/>
    <w:rsid w:val="004004C4"/>
    <w:rsid w:val="00410B51"/>
    <w:rsid w:val="00423546"/>
    <w:rsid w:val="00423CE8"/>
    <w:rsid w:val="004707DA"/>
    <w:rsid w:val="0047214B"/>
    <w:rsid w:val="00473EE1"/>
    <w:rsid w:val="00476EAC"/>
    <w:rsid w:val="00483449"/>
    <w:rsid w:val="00486CC0"/>
    <w:rsid w:val="00494B93"/>
    <w:rsid w:val="004A234F"/>
    <w:rsid w:val="004A407E"/>
    <w:rsid w:val="004A6176"/>
    <w:rsid w:val="004C2B64"/>
    <w:rsid w:val="004C3928"/>
    <w:rsid w:val="004E1EC9"/>
    <w:rsid w:val="004E4C0F"/>
    <w:rsid w:val="004F5A84"/>
    <w:rsid w:val="00510DD0"/>
    <w:rsid w:val="00513D99"/>
    <w:rsid w:val="005227AE"/>
    <w:rsid w:val="005278FD"/>
    <w:rsid w:val="00544014"/>
    <w:rsid w:val="00546104"/>
    <w:rsid w:val="0055068A"/>
    <w:rsid w:val="00550EF7"/>
    <w:rsid w:val="005547D3"/>
    <w:rsid w:val="00560273"/>
    <w:rsid w:val="00567CCF"/>
    <w:rsid w:val="005733B3"/>
    <w:rsid w:val="00574FC7"/>
    <w:rsid w:val="005900FD"/>
    <w:rsid w:val="0059144E"/>
    <w:rsid w:val="0059381F"/>
    <w:rsid w:val="005A4257"/>
    <w:rsid w:val="005A56EE"/>
    <w:rsid w:val="005C0C17"/>
    <w:rsid w:val="005C2A93"/>
    <w:rsid w:val="005D4B54"/>
    <w:rsid w:val="005D687A"/>
    <w:rsid w:val="005D7AFB"/>
    <w:rsid w:val="005E1CD1"/>
    <w:rsid w:val="005E5358"/>
    <w:rsid w:val="005E6C01"/>
    <w:rsid w:val="005F362B"/>
    <w:rsid w:val="005F662E"/>
    <w:rsid w:val="005F66E5"/>
    <w:rsid w:val="005F7EAC"/>
    <w:rsid w:val="0060167E"/>
    <w:rsid w:val="00610CF2"/>
    <w:rsid w:val="00612EFA"/>
    <w:rsid w:val="00615AC4"/>
    <w:rsid w:val="00615EE7"/>
    <w:rsid w:val="00621E70"/>
    <w:rsid w:val="00621F1E"/>
    <w:rsid w:val="0064526D"/>
    <w:rsid w:val="00654933"/>
    <w:rsid w:val="006631D8"/>
    <w:rsid w:val="00672D32"/>
    <w:rsid w:val="00681FCD"/>
    <w:rsid w:val="0068222C"/>
    <w:rsid w:val="006942BA"/>
    <w:rsid w:val="006B64D1"/>
    <w:rsid w:val="006B6E86"/>
    <w:rsid w:val="006E5FDD"/>
    <w:rsid w:val="006F51F3"/>
    <w:rsid w:val="006F5C9A"/>
    <w:rsid w:val="00703922"/>
    <w:rsid w:val="00705CE9"/>
    <w:rsid w:val="007204BF"/>
    <w:rsid w:val="007211FC"/>
    <w:rsid w:val="007327F1"/>
    <w:rsid w:val="00736D38"/>
    <w:rsid w:val="007464AB"/>
    <w:rsid w:val="00747905"/>
    <w:rsid w:val="00772C06"/>
    <w:rsid w:val="007800E2"/>
    <w:rsid w:val="00783264"/>
    <w:rsid w:val="007852D6"/>
    <w:rsid w:val="007852F2"/>
    <w:rsid w:val="00786FE7"/>
    <w:rsid w:val="00792345"/>
    <w:rsid w:val="007A3272"/>
    <w:rsid w:val="007A468C"/>
    <w:rsid w:val="007C3449"/>
    <w:rsid w:val="007C6BA6"/>
    <w:rsid w:val="007C6C4A"/>
    <w:rsid w:val="007D5FC4"/>
    <w:rsid w:val="007D72DC"/>
    <w:rsid w:val="007F0698"/>
    <w:rsid w:val="007F32D1"/>
    <w:rsid w:val="007F6D7A"/>
    <w:rsid w:val="00807516"/>
    <w:rsid w:val="008179A3"/>
    <w:rsid w:val="00820E77"/>
    <w:rsid w:val="00822B52"/>
    <w:rsid w:val="00834CF4"/>
    <w:rsid w:val="008428FB"/>
    <w:rsid w:val="00852885"/>
    <w:rsid w:val="008534C1"/>
    <w:rsid w:val="00856787"/>
    <w:rsid w:val="00870D00"/>
    <w:rsid w:val="00871286"/>
    <w:rsid w:val="008916AB"/>
    <w:rsid w:val="00892967"/>
    <w:rsid w:val="00897602"/>
    <w:rsid w:val="008A1C8A"/>
    <w:rsid w:val="008A293E"/>
    <w:rsid w:val="008A35EF"/>
    <w:rsid w:val="008A62D1"/>
    <w:rsid w:val="008B28CB"/>
    <w:rsid w:val="008B3404"/>
    <w:rsid w:val="008C28A0"/>
    <w:rsid w:val="008D3D5C"/>
    <w:rsid w:val="008E58CD"/>
    <w:rsid w:val="008F0530"/>
    <w:rsid w:val="008F107F"/>
    <w:rsid w:val="008F1A73"/>
    <w:rsid w:val="009172A0"/>
    <w:rsid w:val="00917480"/>
    <w:rsid w:val="00920AF6"/>
    <w:rsid w:val="0093426A"/>
    <w:rsid w:val="009373AA"/>
    <w:rsid w:val="009405EA"/>
    <w:rsid w:val="00945B30"/>
    <w:rsid w:val="00953AE6"/>
    <w:rsid w:val="00967B18"/>
    <w:rsid w:val="00976FD7"/>
    <w:rsid w:val="00980AC7"/>
    <w:rsid w:val="00980EC7"/>
    <w:rsid w:val="0099677E"/>
    <w:rsid w:val="009C184F"/>
    <w:rsid w:val="009C3F04"/>
    <w:rsid w:val="009D3987"/>
    <w:rsid w:val="009D7259"/>
    <w:rsid w:val="009E2324"/>
    <w:rsid w:val="009E3FEB"/>
    <w:rsid w:val="009F3B99"/>
    <w:rsid w:val="009F7552"/>
    <w:rsid w:val="00A228E4"/>
    <w:rsid w:val="00A545B2"/>
    <w:rsid w:val="00A66F95"/>
    <w:rsid w:val="00A706F2"/>
    <w:rsid w:val="00A74E7E"/>
    <w:rsid w:val="00A75045"/>
    <w:rsid w:val="00A8305D"/>
    <w:rsid w:val="00A85086"/>
    <w:rsid w:val="00AB0310"/>
    <w:rsid w:val="00AC30CD"/>
    <w:rsid w:val="00AC4CBA"/>
    <w:rsid w:val="00AC4EB8"/>
    <w:rsid w:val="00AC7060"/>
    <w:rsid w:val="00AD186B"/>
    <w:rsid w:val="00AF1E6D"/>
    <w:rsid w:val="00AF2FA1"/>
    <w:rsid w:val="00AF3445"/>
    <w:rsid w:val="00AF433D"/>
    <w:rsid w:val="00B01FFA"/>
    <w:rsid w:val="00B0585D"/>
    <w:rsid w:val="00B05CAB"/>
    <w:rsid w:val="00B061BF"/>
    <w:rsid w:val="00B10D9C"/>
    <w:rsid w:val="00B12E64"/>
    <w:rsid w:val="00B1375B"/>
    <w:rsid w:val="00B16AD7"/>
    <w:rsid w:val="00B20CED"/>
    <w:rsid w:val="00B21474"/>
    <w:rsid w:val="00B318FF"/>
    <w:rsid w:val="00B320EA"/>
    <w:rsid w:val="00B33452"/>
    <w:rsid w:val="00B4275B"/>
    <w:rsid w:val="00B5792B"/>
    <w:rsid w:val="00B618BA"/>
    <w:rsid w:val="00B63E98"/>
    <w:rsid w:val="00B73985"/>
    <w:rsid w:val="00B7605C"/>
    <w:rsid w:val="00B85A11"/>
    <w:rsid w:val="00BB0A94"/>
    <w:rsid w:val="00BB11C1"/>
    <w:rsid w:val="00BC6C19"/>
    <w:rsid w:val="00BC7337"/>
    <w:rsid w:val="00BD0956"/>
    <w:rsid w:val="00BE2E74"/>
    <w:rsid w:val="00BE3F4B"/>
    <w:rsid w:val="00BE44DF"/>
    <w:rsid w:val="00BE4EC8"/>
    <w:rsid w:val="00BE5321"/>
    <w:rsid w:val="00BF3997"/>
    <w:rsid w:val="00BF3C16"/>
    <w:rsid w:val="00BF3F6F"/>
    <w:rsid w:val="00BF537A"/>
    <w:rsid w:val="00C01878"/>
    <w:rsid w:val="00C02DAB"/>
    <w:rsid w:val="00C065B6"/>
    <w:rsid w:val="00C068A0"/>
    <w:rsid w:val="00C06EF0"/>
    <w:rsid w:val="00C15955"/>
    <w:rsid w:val="00C27CA4"/>
    <w:rsid w:val="00C27E88"/>
    <w:rsid w:val="00C36ED8"/>
    <w:rsid w:val="00C415A2"/>
    <w:rsid w:val="00C44D25"/>
    <w:rsid w:val="00C45F41"/>
    <w:rsid w:val="00C50F49"/>
    <w:rsid w:val="00C52BD8"/>
    <w:rsid w:val="00C5632E"/>
    <w:rsid w:val="00C6045C"/>
    <w:rsid w:val="00C649D3"/>
    <w:rsid w:val="00C80653"/>
    <w:rsid w:val="00C80F63"/>
    <w:rsid w:val="00C9055C"/>
    <w:rsid w:val="00C91149"/>
    <w:rsid w:val="00C96F27"/>
    <w:rsid w:val="00CB0EC8"/>
    <w:rsid w:val="00CC2645"/>
    <w:rsid w:val="00CC6433"/>
    <w:rsid w:val="00CC67EB"/>
    <w:rsid w:val="00CE061D"/>
    <w:rsid w:val="00CE0A46"/>
    <w:rsid w:val="00CE4BFA"/>
    <w:rsid w:val="00CE6887"/>
    <w:rsid w:val="00CF6B75"/>
    <w:rsid w:val="00D018F0"/>
    <w:rsid w:val="00D019E2"/>
    <w:rsid w:val="00D01E1F"/>
    <w:rsid w:val="00D04950"/>
    <w:rsid w:val="00D04B01"/>
    <w:rsid w:val="00D160E8"/>
    <w:rsid w:val="00D17554"/>
    <w:rsid w:val="00D2536F"/>
    <w:rsid w:val="00D56927"/>
    <w:rsid w:val="00D7465B"/>
    <w:rsid w:val="00D80538"/>
    <w:rsid w:val="00D81863"/>
    <w:rsid w:val="00D84783"/>
    <w:rsid w:val="00D84D70"/>
    <w:rsid w:val="00D94950"/>
    <w:rsid w:val="00D9606E"/>
    <w:rsid w:val="00DA614E"/>
    <w:rsid w:val="00DB2408"/>
    <w:rsid w:val="00DB3FC2"/>
    <w:rsid w:val="00DB4BCC"/>
    <w:rsid w:val="00DB5AE2"/>
    <w:rsid w:val="00DC2F75"/>
    <w:rsid w:val="00DC3A95"/>
    <w:rsid w:val="00DC72A7"/>
    <w:rsid w:val="00DE114A"/>
    <w:rsid w:val="00DE2798"/>
    <w:rsid w:val="00DE4980"/>
    <w:rsid w:val="00DE7D67"/>
    <w:rsid w:val="00DF0D7F"/>
    <w:rsid w:val="00E11013"/>
    <w:rsid w:val="00E15AB4"/>
    <w:rsid w:val="00E3243E"/>
    <w:rsid w:val="00E328A1"/>
    <w:rsid w:val="00E4300B"/>
    <w:rsid w:val="00E4584F"/>
    <w:rsid w:val="00E4670C"/>
    <w:rsid w:val="00E54C22"/>
    <w:rsid w:val="00E5561C"/>
    <w:rsid w:val="00E57A16"/>
    <w:rsid w:val="00E809FC"/>
    <w:rsid w:val="00E827D2"/>
    <w:rsid w:val="00E8509A"/>
    <w:rsid w:val="00E86251"/>
    <w:rsid w:val="00EA203A"/>
    <w:rsid w:val="00EA4C4B"/>
    <w:rsid w:val="00EA7209"/>
    <w:rsid w:val="00EB065D"/>
    <w:rsid w:val="00EB1535"/>
    <w:rsid w:val="00EB4323"/>
    <w:rsid w:val="00EC0496"/>
    <w:rsid w:val="00EC40FB"/>
    <w:rsid w:val="00ED7777"/>
    <w:rsid w:val="00EE280C"/>
    <w:rsid w:val="00EE2D12"/>
    <w:rsid w:val="00EE33C5"/>
    <w:rsid w:val="00EE4A2A"/>
    <w:rsid w:val="00EE77A4"/>
    <w:rsid w:val="00EF3B39"/>
    <w:rsid w:val="00EF5D68"/>
    <w:rsid w:val="00F10071"/>
    <w:rsid w:val="00F16159"/>
    <w:rsid w:val="00F30411"/>
    <w:rsid w:val="00F347B1"/>
    <w:rsid w:val="00F445E6"/>
    <w:rsid w:val="00F47282"/>
    <w:rsid w:val="00F51AF9"/>
    <w:rsid w:val="00F542E7"/>
    <w:rsid w:val="00F625F0"/>
    <w:rsid w:val="00F6324E"/>
    <w:rsid w:val="00F71BC5"/>
    <w:rsid w:val="00F82C97"/>
    <w:rsid w:val="00F831BB"/>
    <w:rsid w:val="00F91206"/>
    <w:rsid w:val="00F91AFB"/>
    <w:rsid w:val="00F92072"/>
    <w:rsid w:val="00FA6663"/>
    <w:rsid w:val="00FA6E8A"/>
    <w:rsid w:val="00FB4ED3"/>
    <w:rsid w:val="00FD0682"/>
    <w:rsid w:val="00FD1C61"/>
    <w:rsid w:val="00FD739D"/>
    <w:rsid w:val="00FE7BCC"/>
    <w:rsid w:val="00FF4B8D"/>
    <w:rsid w:val="00FF4C91"/>
    <w:rsid w:val="00FF7E19"/>
    <w:rsid w:val="024A177C"/>
    <w:rsid w:val="027F66C0"/>
    <w:rsid w:val="030E551C"/>
    <w:rsid w:val="03184523"/>
    <w:rsid w:val="03530E23"/>
    <w:rsid w:val="037B74D7"/>
    <w:rsid w:val="03C74093"/>
    <w:rsid w:val="04017FF3"/>
    <w:rsid w:val="041D2C5D"/>
    <w:rsid w:val="04A5584C"/>
    <w:rsid w:val="053C1348"/>
    <w:rsid w:val="057B4AC6"/>
    <w:rsid w:val="067174E5"/>
    <w:rsid w:val="067178A6"/>
    <w:rsid w:val="0880179B"/>
    <w:rsid w:val="08E2595C"/>
    <w:rsid w:val="08F008E5"/>
    <w:rsid w:val="08F7304D"/>
    <w:rsid w:val="093873CB"/>
    <w:rsid w:val="09A27EC1"/>
    <w:rsid w:val="09D47DB4"/>
    <w:rsid w:val="0A562E5F"/>
    <w:rsid w:val="0A985C34"/>
    <w:rsid w:val="0B1A06DF"/>
    <w:rsid w:val="0B534F3E"/>
    <w:rsid w:val="0B736B31"/>
    <w:rsid w:val="0B7550EA"/>
    <w:rsid w:val="0BBC4034"/>
    <w:rsid w:val="0C3C019E"/>
    <w:rsid w:val="0C7B37DB"/>
    <w:rsid w:val="0D38511A"/>
    <w:rsid w:val="0D675C51"/>
    <w:rsid w:val="0DE9287F"/>
    <w:rsid w:val="0E7D11CF"/>
    <w:rsid w:val="0F052DB7"/>
    <w:rsid w:val="0F7A7ACF"/>
    <w:rsid w:val="10766F04"/>
    <w:rsid w:val="10C40614"/>
    <w:rsid w:val="1135451C"/>
    <w:rsid w:val="11BD68F8"/>
    <w:rsid w:val="11CC2D71"/>
    <w:rsid w:val="135450A1"/>
    <w:rsid w:val="13DB690E"/>
    <w:rsid w:val="153E19D8"/>
    <w:rsid w:val="158744E1"/>
    <w:rsid w:val="170619DC"/>
    <w:rsid w:val="17253230"/>
    <w:rsid w:val="17593DC1"/>
    <w:rsid w:val="17BF48C4"/>
    <w:rsid w:val="182F26DA"/>
    <w:rsid w:val="18672151"/>
    <w:rsid w:val="19231EB3"/>
    <w:rsid w:val="193221AE"/>
    <w:rsid w:val="19747554"/>
    <w:rsid w:val="19BB10B9"/>
    <w:rsid w:val="1B2056EA"/>
    <w:rsid w:val="1C895716"/>
    <w:rsid w:val="1D240CD9"/>
    <w:rsid w:val="1D262E1B"/>
    <w:rsid w:val="1D6E6420"/>
    <w:rsid w:val="1E7D3761"/>
    <w:rsid w:val="1F992046"/>
    <w:rsid w:val="1FE82B58"/>
    <w:rsid w:val="1FF742DF"/>
    <w:rsid w:val="201C44C9"/>
    <w:rsid w:val="2052406D"/>
    <w:rsid w:val="205B19AB"/>
    <w:rsid w:val="20826ACA"/>
    <w:rsid w:val="208D7A56"/>
    <w:rsid w:val="20B52B38"/>
    <w:rsid w:val="20DD7F3B"/>
    <w:rsid w:val="215E23D3"/>
    <w:rsid w:val="21621B70"/>
    <w:rsid w:val="21690626"/>
    <w:rsid w:val="217A48AC"/>
    <w:rsid w:val="22B505FC"/>
    <w:rsid w:val="22E94C26"/>
    <w:rsid w:val="243D287E"/>
    <w:rsid w:val="24E43BF4"/>
    <w:rsid w:val="2582621B"/>
    <w:rsid w:val="25CD7A8E"/>
    <w:rsid w:val="26282BF9"/>
    <w:rsid w:val="263D0AD4"/>
    <w:rsid w:val="266E0CC4"/>
    <w:rsid w:val="273C4417"/>
    <w:rsid w:val="276B7AF7"/>
    <w:rsid w:val="278C2A4D"/>
    <w:rsid w:val="27910AA9"/>
    <w:rsid w:val="28760A79"/>
    <w:rsid w:val="2890467E"/>
    <w:rsid w:val="289407CF"/>
    <w:rsid w:val="29A4066F"/>
    <w:rsid w:val="29CA77B4"/>
    <w:rsid w:val="2A323A36"/>
    <w:rsid w:val="2AAA48C4"/>
    <w:rsid w:val="2B0A0785"/>
    <w:rsid w:val="2B206B66"/>
    <w:rsid w:val="2B8474ED"/>
    <w:rsid w:val="2B863DBE"/>
    <w:rsid w:val="2C3F2C8B"/>
    <w:rsid w:val="2C4236D1"/>
    <w:rsid w:val="2CD1218C"/>
    <w:rsid w:val="2D0505BE"/>
    <w:rsid w:val="2D461188"/>
    <w:rsid w:val="2D8F6B05"/>
    <w:rsid w:val="2DDF60A4"/>
    <w:rsid w:val="2DE83ED6"/>
    <w:rsid w:val="2E085F46"/>
    <w:rsid w:val="2ECA4CC7"/>
    <w:rsid w:val="2F2620F6"/>
    <w:rsid w:val="2F986E73"/>
    <w:rsid w:val="307449E7"/>
    <w:rsid w:val="30857896"/>
    <w:rsid w:val="30A625FC"/>
    <w:rsid w:val="31A55A28"/>
    <w:rsid w:val="31B05EBF"/>
    <w:rsid w:val="31B50C0D"/>
    <w:rsid w:val="32003171"/>
    <w:rsid w:val="32F42F9E"/>
    <w:rsid w:val="334A3E17"/>
    <w:rsid w:val="33854D87"/>
    <w:rsid w:val="34912F28"/>
    <w:rsid w:val="34AF1336"/>
    <w:rsid w:val="359473A7"/>
    <w:rsid w:val="36B24F8B"/>
    <w:rsid w:val="37E95D81"/>
    <w:rsid w:val="37F23B19"/>
    <w:rsid w:val="38244F81"/>
    <w:rsid w:val="38A90DF8"/>
    <w:rsid w:val="38D93921"/>
    <w:rsid w:val="390411B4"/>
    <w:rsid w:val="39060970"/>
    <w:rsid w:val="390D0CD5"/>
    <w:rsid w:val="394A5A5A"/>
    <w:rsid w:val="3959342C"/>
    <w:rsid w:val="3A711680"/>
    <w:rsid w:val="3B8A7196"/>
    <w:rsid w:val="3BA46794"/>
    <w:rsid w:val="3BAE4FA4"/>
    <w:rsid w:val="3BDF33C8"/>
    <w:rsid w:val="3BFF1A68"/>
    <w:rsid w:val="3C8368C4"/>
    <w:rsid w:val="3C883523"/>
    <w:rsid w:val="3CD31E58"/>
    <w:rsid w:val="3CD553C5"/>
    <w:rsid w:val="3D127A65"/>
    <w:rsid w:val="3D4A571D"/>
    <w:rsid w:val="3DAA1475"/>
    <w:rsid w:val="3F55712E"/>
    <w:rsid w:val="3F866399"/>
    <w:rsid w:val="3FC77D0A"/>
    <w:rsid w:val="3FF57199"/>
    <w:rsid w:val="40576FAF"/>
    <w:rsid w:val="4142251B"/>
    <w:rsid w:val="41526C96"/>
    <w:rsid w:val="417E3959"/>
    <w:rsid w:val="41C32EDE"/>
    <w:rsid w:val="41D40FDE"/>
    <w:rsid w:val="42230A03"/>
    <w:rsid w:val="434D3255"/>
    <w:rsid w:val="435E5F36"/>
    <w:rsid w:val="436A6D87"/>
    <w:rsid w:val="437B2500"/>
    <w:rsid w:val="441A3BDB"/>
    <w:rsid w:val="442E122D"/>
    <w:rsid w:val="44594E2E"/>
    <w:rsid w:val="44E00DA6"/>
    <w:rsid w:val="44FE5968"/>
    <w:rsid w:val="452B67C9"/>
    <w:rsid w:val="45FE1693"/>
    <w:rsid w:val="466F36F7"/>
    <w:rsid w:val="468160D8"/>
    <w:rsid w:val="46B23EE7"/>
    <w:rsid w:val="46B85E3D"/>
    <w:rsid w:val="46D84B1A"/>
    <w:rsid w:val="47045A86"/>
    <w:rsid w:val="47193C46"/>
    <w:rsid w:val="475815D1"/>
    <w:rsid w:val="47A3277C"/>
    <w:rsid w:val="47F610F3"/>
    <w:rsid w:val="481920F0"/>
    <w:rsid w:val="48D92E56"/>
    <w:rsid w:val="48EC6FCF"/>
    <w:rsid w:val="49BF34B8"/>
    <w:rsid w:val="49E71DC9"/>
    <w:rsid w:val="4AC37589"/>
    <w:rsid w:val="4AD351D2"/>
    <w:rsid w:val="4AD53763"/>
    <w:rsid w:val="4B9F7CF2"/>
    <w:rsid w:val="4C6F195A"/>
    <w:rsid w:val="4CE02981"/>
    <w:rsid w:val="4FFC7E07"/>
    <w:rsid w:val="50795C23"/>
    <w:rsid w:val="50BD4909"/>
    <w:rsid w:val="50CC4039"/>
    <w:rsid w:val="50ED7E31"/>
    <w:rsid w:val="512D7A72"/>
    <w:rsid w:val="516407AE"/>
    <w:rsid w:val="51981B50"/>
    <w:rsid w:val="5237005A"/>
    <w:rsid w:val="533213DA"/>
    <w:rsid w:val="54114FB9"/>
    <w:rsid w:val="54E31CA7"/>
    <w:rsid w:val="5616438F"/>
    <w:rsid w:val="56645BC9"/>
    <w:rsid w:val="568612D4"/>
    <w:rsid w:val="56B56A45"/>
    <w:rsid w:val="56FF18E9"/>
    <w:rsid w:val="576B4DCA"/>
    <w:rsid w:val="57F651D9"/>
    <w:rsid w:val="58070FCA"/>
    <w:rsid w:val="58A10DA2"/>
    <w:rsid w:val="59741002"/>
    <w:rsid w:val="59B26A77"/>
    <w:rsid w:val="5A827752"/>
    <w:rsid w:val="5B03019A"/>
    <w:rsid w:val="5B1859F6"/>
    <w:rsid w:val="5BDA7A49"/>
    <w:rsid w:val="5C3B1482"/>
    <w:rsid w:val="5C662463"/>
    <w:rsid w:val="5D000B51"/>
    <w:rsid w:val="5D6564B7"/>
    <w:rsid w:val="5D75402D"/>
    <w:rsid w:val="5DC45BE5"/>
    <w:rsid w:val="5DD311A3"/>
    <w:rsid w:val="5E1252A5"/>
    <w:rsid w:val="5E954037"/>
    <w:rsid w:val="5EBC2F6D"/>
    <w:rsid w:val="5F0944D9"/>
    <w:rsid w:val="5F786D4F"/>
    <w:rsid w:val="5FBB6B26"/>
    <w:rsid w:val="5FD00D19"/>
    <w:rsid w:val="60007EE0"/>
    <w:rsid w:val="601B6CB7"/>
    <w:rsid w:val="60803BFB"/>
    <w:rsid w:val="60807F7E"/>
    <w:rsid w:val="60C873C6"/>
    <w:rsid w:val="61052CC7"/>
    <w:rsid w:val="61094C0F"/>
    <w:rsid w:val="61497BDE"/>
    <w:rsid w:val="617D1A59"/>
    <w:rsid w:val="618740BF"/>
    <w:rsid w:val="61F1784D"/>
    <w:rsid w:val="626D7E03"/>
    <w:rsid w:val="62AF022E"/>
    <w:rsid w:val="62BC6DB3"/>
    <w:rsid w:val="63620ECF"/>
    <w:rsid w:val="636C4232"/>
    <w:rsid w:val="63FD0A8C"/>
    <w:rsid w:val="64307055"/>
    <w:rsid w:val="64341974"/>
    <w:rsid w:val="656A5C04"/>
    <w:rsid w:val="657C6BBF"/>
    <w:rsid w:val="659F73CF"/>
    <w:rsid w:val="65FA64B9"/>
    <w:rsid w:val="68556D49"/>
    <w:rsid w:val="68721B09"/>
    <w:rsid w:val="68AC26D6"/>
    <w:rsid w:val="69782B96"/>
    <w:rsid w:val="697F2EE9"/>
    <w:rsid w:val="6ACD65A6"/>
    <w:rsid w:val="6B1035B1"/>
    <w:rsid w:val="6B2524EC"/>
    <w:rsid w:val="6B3B02AC"/>
    <w:rsid w:val="6B570DDE"/>
    <w:rsid w:val="6C313E99"/>
    <w:rsid w:val="6D692DC8"/>
    <w:rsid w:val="6EC5646F"/>
    <w:rsid w:val="6ED876D5"/>
    <w:rsid w:val="6F613C89"/>
    <w:rsid w:val="6F742AC4"/>
    <w:rsid w:val="6F756B05"/>
    <w:rsid w:val="6FB30C95"/>
    <w:rsid w:val="6FBC1972"/>
    <w:rsid w:val="70031575"/>
    <w:rsid w:val="70093A5F"/>
    <w:rsid w:val="703E57D7"/>
    <w:rsid w:val="708E6FD6"/>
    <w:rsid w:val="70B61C63"/>
    <w:rsid w:val="70B957EC"/>
    <w:rsid w:val="72041464"/>
    <w:rsid w:val="72230316"/>
    <w:rsid w:val="73957A37"/>
    <w:rsid w:val="73D2140E"/>
    <w:rsid w:val="74064965"/>
    <w:rsid w:val="74551C69"/>
    <w:rsid w:val="74DA792A"/>
    <w:rsid w:val="756A654C"/>
    <w:rsid w:val="75C213F9"/>
    <w:rsid w:val="76401F52"/>
    <w:rsid w:val="76BB0C97"/>
    <w:rsid w:val="77991472"/>
    <w:rsid w:val="779D0EDA"/>
    <w:rsid w:val="77DC5A16"/>
    <w:rsid w:val="7810147F"/>
    <w:rsid w:val="79E12D87"/>
    <w:rsid w:val="79EB2076"/>
    <w:rsid w:val="7A164D10"/>
    <w:rsid w:val="7AFE2D10"/>
    <w:rsid w:val="7B082C25"/>
    <w:rsid w:val="7B800FC0"/>
    <w:rsid w:val="7BA1698F"/>
    <w:rsid w:val="7BA85CFD"/>
    <w:rsid w:val="7C225150"/>
    <w:rsid w:val="7C8B5CCC"/>
    <w:rsid w:val="7C9D13E8"/>
    <w:rsid w:val="7CBD2BB1"/>
    <w:rsid w:val="7CE96C3C"/>
    <w:rsid w:val="7CF15D5C"/>
    <w:rsid w:val="7D234387"/>
    <w:rsid w:val="7D3F4B0B"/>
    <w:rsid w:val="7D487C3C"/>
    <w:rsid w:val="7D4B561A"/>
    <w:rsid w:val="7D585303"/>
    <w:rsid w:val="7D934A82"/>
    <w:rsid w:val="7EE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hAnsi="Courier New" w:cs="Courier New"/>
      <w:szCs w:val="21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semiHidden/>
    <w:unhideWhenUsed/>
    <w:qFormat/>
    <w:uiPriority w:val="99"/>
    <w:rPr>
      <w:color w:val="000000"/>
      <w:u w:val="none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3">
    <w:name w:val="页眉 Char"/>
    <w:basedOn w:val="9"/>
    <w:link w:val="6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4">
    <w:name w:val="页脚 Char"/>
    <w:basedOn w:val="9"/>
    <w:link w:val="5"/>
    <w:semiHidden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5.xml"/><Relationship Id="rId8" Type="http://schemas.openxmlformats.org/officeDocument/2006/relationships/chart" Target="charts/chart4.xml"/><Relationship Id="rId7" Type="http://schemas.openxmlformats.org/officeDocument/2006/relationships/chart" Target="charts/chart3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chart" Target="charts/chart7.xml"/><Relationship Id="rId10" Type="http://schemas.openxmlformats.org/officeDocument/2006/relationships/chart" Target="charts/chart6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Administrator\Desktop\2020&#24180;&#20844;&#25253;&#22270;&#34920;&#25152;&#38656;&#25968;&#25454;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file:///C:\Users\Administrator\Desktop\2020&#24180;&#20844;&#25253;&#22270;&#34920;&#25152;&#38656;&#25968;&#25454;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file:///C:\Users\Administrator\Desktop\2020&#24180;&#20844;&#25253;&#22270;&#34920;&#25152;&#38656;&#25968;&#25454;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file:///C:\Users\Administrator\Desktop\2020&#24180;&#20844;&#25253;&#22270;&#34920;&#25152;&#38656;&#25968;&#25454;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oleObject" Target="file:///C:\Users\Administrator\Desktop\2020&#24180;&#20844;&#25253;&#22270;&#34920;&#25152;&#38656;&#25968;&#25454;(1)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oleObject" Target="file:///C:\Users\Administrator\Desktop\&#31038;&#38646;&#39069;2016-2020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microsoft.com/office/2011/relationships/chartColorStyle" Target="colors7.xml"/><Relationship Id="rId2" Type="http://schemas.microsoft.com/office/2011/relationships/chartStyle" Target="style7.xml"/><Relationship Id="rId1" Type="http://schemas.openxmlformats.org/officeDocument/2006/relationships/oleObject" Target="file:///F:\&#20303;&#25143;&#35843;&#26597;\&#38271;&#23707;&#24180;&#24230;&#20154;&#22343;&#21487;&#25903;&#37197;&#25910;&#20837;&#25903;&#20986;&#20998;&#26512;&#3492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/>
              <a:t>2016-2020</a:t>
            </a:r>
            <a:r>
              <a:rPr altLang="en-US" b="1"/>
              <a:t>年</a:t>
            </a:r>
            <a:r>
              <a:rPr b="1"/>
              <a:t>地区生产总值</a:t>
            </a:r>
            <a:endParaRPr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[2020年公报图表所需数据.xlsx]Sheet1!$B$2</c:f>
              <c:strCache>
                <c:ptCount val="1"/>
                <c:pt idx="0">
                  <c:v>地区生产总值</c:v>
                </c:pt>
              </c:strCache>
            </c:strRef>
          </c:tx>
          <c:spPr>
            <a:gradFill>
              <a:gsLst>
                <a:gs pos="0">
                  <a:srgbClr val="FE4444"/>
                </a:gs>
                <a:gs pos="100000">
                  <a:srgbClr val="832B2B"/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[2020年公报图表所需数据.xlsx]Sheet1!$A$3:$A$7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[2020年公报图表所需数据.xlsx]Sheet1!$B$3:$B$7</c:f>
              <c:numCache>
                <c:formatCode>0_);[Red]\(0\)</c:formatCode>
                <c:ptCount val="5"/>
                <c:pt idx="0">
                  <c:v>671663</c:v>
                </c:pt>
                <c:pt idx="1">
                  <c:v>713713</c:v>
                </c:pt>
                <c:pt idx="2">
                  <c:v>730642</c:v>
                </c:pt>
                <c:pt idx="3">
                  <c:v>743741</c:v>
                </c:pt>
                <c:pt idx="4">
                  <c:v>744597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4545198"/>
        <c:axId val="461291462"/>
      </c:barChart>
      <c:catAx>
        <c:axId val="134545198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b="1"/>
                  <a:t>万元</a:t>
                </a:r>
                <a:endParaRPr b="1"/>
              </a:p>
            </c:rich>
          </c:tx>
          <c:layout>
            <c:manualLayout>
              <c:xMode val="edge"/>
              <c:yMode val="edge"/>
              <c:x val="0.0242777777777777"/>
              <c:y val="0.0854166666666667"/>
            </c:manualLayout>
          </c:layout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61291462"/>
        <c:crosses val="autoZero"/>
        <c:auto val="1"/>
        <c:lblAlgn val="ctr"/>
        <c:lblOffset val="100"/>
        <c:noMultiLvlLbl val="0"/>
      </c:catAx>
      <c:valAx>
        <c:axId val="46129146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_);[Red]\(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454519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b="1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sz="1200" b="1"/>
              <a:t>2016-2020</a:t>
            </a:r>
            <a:r>
              <a:rPr altLang="en-US" sz="1200" b="1"/>
              <a:t>三次产业增加值占地区生产总值比重</a:t>
            </a:r>
            <a:endParaRPr altLang="en-US" sz="1200" b="1"/>
          </a:p>
        </c:rich>
      </c:tx>
      <c:layout>
        <c:manualLayout>
          <c:xMode val="edge"/>
          <c:yMode val="edge"/>
          <c:x val="0.2"/>
          <c:y val="0.0410313704872064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[2020年公报图表所需数据.xlsx]Sheet1!$B$2</c:f>
              <c:strCache>
                <c:ptCount val="1"/>
                <c:pt idx="0">
                  <c:v>第一产业比重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[2020年公报图表所需数据.xlsx]Sheet1!$A$3:$A$7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[2020年公报图表所需数据.xlsx]Sheet1!$B$3:$B$7</c:f>
              <c:numCache>
                <c:formatCode>0.0_);[Red]\(0.0\)</c:formatCode>
                <c:ptCount val="5"/>
                <c:pt idx="0">
                  <c:v>56.2</c:v>
                </c:pt>
                <c:pt idx="1">
                  <c:v>56</c:v>
                </c:pt>
                <c:pt idx="2">
                  <c:v>58.7</c:v>
                </c:pt>
                <c:pt idx="3">
                  <c:v>59.3</c:v>
                </c:pt>
                <c:pt idx="4">
                  <c:v>64.2</c:v>
                </c:pt>
              </c:numCache>
            </c:numRef>
          </c:val>
        </c:ser>
        <c:ser>
          <c:idx val="1"/>
          <c:order val="1"/>
          <c:tx>
            <c:strRef>
              <c:f>[2020年公报图表所需数据.xlsx]Sheet1!$C$2</c:f>
              <c:strCache>
                <c:ptCount val="1"/>
                <c:pt idx="0">
                  <c:v>第二产业比重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[2020年公报图表所需数据.xlsx]Sheet1!$A$3:$A$7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[2020年公报图表所需数据.xlsx]Sheet1!$C$3:$C$7</c:f>
              <c:numCache>
                <c:formatCode>0.0_);[Red]\(0.0\)</c:formatCode>
                <c:ptCount val="5"/>
                <c:pt idx="0">
                  <c:v>5.8</c:v>
                </c:pt>
                <c:pt idx="1">
                  <c:v>6</c:v>
                </c:pt>
                <c:pt idx="2">
                  <c:v>4.8</c:v>
                </c:pt>
                <c:pt idx="3">
                  <c:v>4.3</c:v>
                </c:pt>
                <c:pt idx="4">
                  <c:v>4</c:v>
                </c:pt>
              </c:numCache>
            </c:numRef>
          </c:val>
        </c:ser>
        <c:ser>
          <c:idx val="2"/>
          <c:order val="2"/>
          <c:tx>
            <c:strRef>
              <c:f>[2020年公报图表所需数据.xlsx]Sheet1!$D$2</c:f>
              <c:strCache>
                <c:ptCount val="1"/>
                <c:pt idx="0">
                  <c:v>第三产业比重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[2020年公报图表所需数据.xlsx]Sheet1!$A$3:$A$7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[2020年公报图表所需数据.xlsx]Sheet1!$D$3:$D$7</c:f>
              <c:numCache>
                <c:formatCode>0.0_);[Red]\(0.0\)</c:formatCode>
                <c:ptCount val="5"/>
                <c:pt idx="0">
                  <c:v>38</c:v>
                </c:pt>
                <c:pt idx="1">
                  <c:v>38</c:v>
                </c:pt>
                <c:pt idx="2">
                  <c:v>36.5</c:v>
                </c:pt>
                <c:pt idx="3">
                  <c:v>36.4</c:v>
                </c:pt>
                <c:pt idx="4">
                  <c:v>31.8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345425467"/>
        <c:axId val="471445668"/>
      </c:barChart>
      <c:catAx>
        <c:axId val="345425467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b="1"/>
                  <a:t>%</a:t>
                </a:r>
                <a:endParaRPr lang="en-US" altLang="zh-CN" b="1"/>
              </a:p>
            </c:rich>
          </c:tx>
          <c:layout>
            <c:manualLayout>
              <c:xMode val="edge"/>
              <c:yMode val="edge"/>
              <c:x val="0.0209272649936198"/>
              <c:y val="0.0638682466358707"/>
            </c:manualLayout>
          </c:layout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71445668"/>
        <c:crosses val="autoZero"/>
        <c:auto val="1"/>
        <c:lblAlgn val="ctr"/>
        <c:lblOffset val="100"/>
        <c:noMultiLvlLbl val="0"/>
      </c:catAx>
      <c:valAx>
        <c:axId val="4714456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;[Red]\(0.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454254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b="1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/>
              <a:t>2016-2020</a:t>
            </a:r>
            <a:r>
              <a:rPr altLang="en-US" b="1"/>
              <a:t>年</a:t>
            </a:r>
            <a:r>
              <a:rPr b="1"/>
              <a:t>工业增加值</a:t>
            </a:r>
            <a:endParaRPr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[2020年公报图表所需数据.xlsx]Sheet1!$B$2</c:f>
              <c:strCache>
                <c:ptCount val="1"/>
                <c:pt idx="0">
                  <c:v>工业增加值</c:v>
                </c:pt>
              </c:strCache>
            </c:strRef>
          </c:tx>
          <c:spPr>
            <a:gradFill>
              <a:gsLst>
                <a:gs pos="0">
                  <a:srgbClr val="FE4444"/>
                </a:gs>
                <a:gs pos="100000">
                  <a:srgbClr val="832B2B"/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[2020年公报图表所需数据.xlsx]Sheet1!$A$3:$A$7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[2020年公报图表所需数据.xlsx]Sheet1!$B$3:$B$7</c:f>
              <c:numCache>
                <c:formatCode>General</c:formatCode>
                <c:ptCount val="5"/>
                <c:pt idx="0">
                  <c:v>22697</c:v>
                </c:pt>
                <c:pt idx="1">
                  <c:v>22575</c:v>
                </c:pt>
                <c:pt idx="2">
                  <c:v>14380</c:v>
                </c:pt>
                <c:pt idx="3">
                  <c:v>14127</c:v>
                </c:pt>
                <c:pt idx="4">
                  <c:v>12645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53963562"/>
        <c:axId val="476220908"/>
      </c:barChart>
      <c:catAx>
        <c:axId val="153963562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b="1"/>
                  <a:t>万元</a:t>
                </a:r>
                <a:endParaRPr b="1"/>
              </a:p>
            </c:rich>
          </c:tx>
          <c:layout>
            <c:manualLayout>
              <c:xMode val="edge"/>
              <c:yMode val="edge"/>
              <c:x val="0.0137916666666666"/>
              <c:y val="0.0819444444444444"/>
            </c:manualLayout>
          </c:layout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76220908"/>
        <c:crosses val="autoZero"/>
        <c:auto val="1"/>
        <c:lblAlgn val="ctr"/>
        <c:lblOffset val="100"/>
        <c:noMultiLvlLbl val="0"/>
      </c:catAx>
      <c:valAx>
        <c:axId val="4762209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5396356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b="1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/>
              <a:t>2016-2020</a:t>
            </a:r>
            <a:r>
              <a:rPr altLang="en-US" b="1"/>
              <a:t>年</a:t>
            </a:r>
            <a:r>
              <a:rPr b="1"/>
              <a:t>建筑业增加值</a:t>
            </a:r>
            <a:endParaRPr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[2020年公报图表所需数据.xlsx]Sheet1!$B$2</c:f>
              <c:strCache>
                <c:ptCount val="1"/>
                <c:pt idx="0">
                  <c:v>建筑业增加值</c:v>
                </c:pt>
              </c:strCache>
            </c:strRef>
          </c:tx>
          <c:spPr>
            <a:gradFill>
              <a:gsLst>
                <a:gs pos="0">
                  <a:srgbClr val="FE4444"/>
                </a:gs>
                <a:gs pos="100000">
                  <a:srgbClr val="832B2B"/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[2020年公报图表所需数据.xlsx]Sheet1!$A$3:$A$7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[2020年公报图表所需数据.xlsx]Sheet1!$B$3:$B$7</c:f>
              <c:numCache>
                <c:formatCode>General</c:formatCode>
                <c:ptCount val="5"/>
                <c:pt idx="0">
                  <c:v>17976</c:v>
                </c:pt>
                <c:pt idx="1">
                  <c:v>22114</c:v>
                </c:pt>
                <c:pt idx="2">
                  <c:v>21292</c:v>
                </c:pt>
                <c:pt idx="3">
                  <c:v>18626</c:v>
                </c:pt>
                <c:pt idx="4">
                  <c:v>17909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28732314"/>
        <c:axId val="55057470"/>
      </c:barChart>
      <c:catAx>
        <c:axId val="428732314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b="1"/>
                  <a:t>万元</a:t>
                </a:r>
                <a:endParaRPr b="1"/>
              </a:p>
            </c:rich>
          </c:tx>
          <c:layout>
            <c:manualLayout>
              <c:xMode val="edge"/>
              <c:yMode val="edge"/>
              <c:x val="0.0179583333333333"/>
              <c:y val="0.0854166666666667"/>
            </c:manualLayout>
          </c:layout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5057470"/>
        <c:crosses val="autoZero"/>
        <c:auto val="1"/>
        <c:lblAlgn val="ctr"/>
        <c:lblOffset val="100"/>
        <c:noMultiLvlLbl val="0"/>
      </c:catAx>
      <c:valAx>
        <c:axId val="5505747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2873231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b="1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/>
              <a:t>2016-2020</a:t>
            </a:r>
            <a:r>
              <a:rPr altLang="zh-CN" b="1"/>
              <a:t>年</a:t>
            </a:r>
            <a:r>
              <a:rPr b="1"/>
              <a:t>固定资产投资同比增幅</a:t>
            </a:r>
            <a:endParaRPr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'[2020年公报图表所需数据(1).xlsx]Sheet1'!$B$2</c:f>
              <c:strCache>
                <c:ptCount val="1"/>
                <c:pt idx="0">
                  <c:v>固定资产投资增幅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'[2020年公报图表所需数据(1).xlsx]Sheet1'!$A$3:$A$7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'[2020年公报图表所需数据(1).xlsx]Sheet1'!$B$3:$B$7</c:f>
              <c:numCache>
                <c:formatCode>General</c:formatCode>
                <c:ptCount val="5"/>
                <c:pt idx="0">
                  <c:v>12.4</c:v>
                </c:pt>
                <c:pt idx="1">
                  <c:v>13.2</c:v>
                </c:pt>
                <c:pt idx="2">
                  <c:v>6.5</c:v>
                </c:pt>
                <c:pt idx="3">
                  <c:v>9.4</c:v>
                </c:pt>
                <c:pt idx="4">
                  <c:v>5.5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800059303"/>
        <c:axId val="694998846"/>
      </c:lineChart>
      <c:catAx>
        <c:axId val="800059303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b="1"/>
                  <a:t>%</a:t>
                </a:r>
                <a:endParaRPr lang="en-US" altLang="zh-CN" b="1"/>
              </a:p>
            </c:rich>
          </c:tx>
          <c:layout>
            <c:manualLayout>
              <c:xMode val="edge"/>
              <c:yMode val="edge"/>
              <c:x val="0.0168472222222222"/>
              <c:y val="0.074537037037037"/>
            </c:manualLayout>
          </c:layout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94998846"/>
        <c:crosses val="autoZero"/>
        <c:auto val="1"/>
        <c:lblAlgn val="ctr"/>
        <c:lblOffset val="100"/>
        <c:noMultiLvlLbl val="0"/>
      </c:catAx>
      <c:valAx>
        <c:axId val="69499884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000593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b="1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/>
              <a:t>2016-2020</a:t>
            </a:r>
            <a:r>
              <a:rPr altLang="en-US" b="1"/>
              <a:t>年</a:t>
            </a:r>
            <a:r>
              <a:rPr b="1"/>
              <a:t>社会消费品零售额</a:t>
            </a:r>
            <a:endParaRPr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'[社零额2016-2020.xlsx]Sheet1'!$B$2</c:f>
              <c:strCache>
                <c:ptCount val="1"/>
                <c:pt idx="0">
                  <c:v>社会消费品零售额：万元</c:v>
                </c:pt>
              </c:strCache>
            </c:strRef>
          </c:tx>
          <c:spPr>
            <a:gradFill>
              <a:gsLst>
                <a:gs pos="0">
                  <a:srgbClr val="FE4444"/>
                </a:gs>
                <a:gs pos="100000">
                  <a:srgbClr val="832B2B"/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'[社零额2016-2020.xlsx]Sheet1'!$A$3:$A$7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'[社零额2016-2020.xlsx]Sheet1'!$B$3:$B$7</c:f>
              <c:numCache>
                <c:formatCode>0_ </c:formatCode>
                <c:ptCount val="5"/>
                <c:pt idx="0">
                  <c:v>209140</c:v>
                </c:pt>
                <c:pt idx="1">
                  <c:v>229636</c:v>
                </c:pt>
                <c:pt idx="2">
                  <c:v>146997.9</c:v>
                </c:pt>
                <c:pt idx="3">
                  <c:v>155964.8</c:v>
                </c:pt>
                <c:pt idx="4">
                  <c:v>151457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7804164"/>
        <c:axId val="127772466"/>
      </c:barChart>
      <c:catAx>
        <c:axId val="517804164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b="1"/>
                  <a:t>万元</a:t>
                </a:r>
                <a:endParaRPr b="1"/>
              </a:p>
            </c:rich>
          </c:tx>
          <c:layout>
            <c:manualLayout>
              <c:xMode val="edge"/>
              <c:yMode val="edge"/>
              <c:x val="0.0201111111111111"/>
              <c:y val="0.0888888888888889"/>
            </c:manualLayout>
          </c:layout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27772466"/>
        <c:crosses val="autoZero"/>
        <c:auto val="1"/>
        <c:lblAlgn val="ctr"/>
        <c:lblOffset val="100"/>
        <c:noMultiLvlLbl val="0"/>
      </c:catAx>
      <c:valAx>
        <c:axId val="12777246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178041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b="1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b="1"/>
              <a:t>2016-2020</a:t>
            </a:r>
            <a:r>
              <a:rPr altLang="en-US" b="1"/>
              <a:t>年居民人均可支配收入</a:t>
            </a:r>
            <a:endParaRPr altLang="en-US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[长岛年度人均可支配收入支出分析表.xlsx]Sheet1!$B$1</c:f>
              <c:strCache>
                <c:ptCount val="1"/>
                <c:pt idx="0">
                  <c:v>全体人均可支配收入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[长岛年度人均可支配收入支出分析表.xlsx]Sheet1!$A$2:$A$6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[长岛年度人均可支配收入支出分析表.xlsx]Sheet1!$B$2:$B$6</c:f>
              <c:numCache>
                <c:formatCode>0_ </c:formatCode>
                <c:ptCount val="5"/>
                <c:pt idx="0">
                  <c:v>21454.94</c:v>
                </c:pt>
                <c:pt idx="1">
                  <c:v>23353.87</c:v>
                </c:pt>
                <c:pt idx="2">
                  <c:v>25318.44</c:v>
                </c:pt>
                <c:pt idx="3">
                  <c:v>27502.2755741614</c:v>
                </c:pt>
                <c:pt idx="4">
                  <c:v>28779.02</c:v>
                </c:pt>
              </c:numCache>
            </c:numRef>
          </c:val>
        </c:ser>
        <c:ser>
          <c:idx val="1"/>
          <c:order val="1"/>
          <c:tx>
            <c:strRef>
              <c:f>[长岛年度人均可支配收入支出分析表.xlsx]Sheet1!$C$1</c:f>
              <c:strCache>
                <c:ptCount val="1"/>
                <c:pt idx="0">
                  <c:v>城镇人均可支配收入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[长岛年度人均可支配收入支出分析表.xlsx]Sheet1!$A$2:$A$6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[长岛年度人均可支配收入支出分析表.xlsx]Sheet1!$C$2:$C$6</c:f>
              <c:numCache>
                <c:formatCode>0_ </c:formatCode>
                <c:ptCount val="5"/>
                <c:pt idx="0">
                  <c:v>30596.1</c:v>
                </c:pt>
                <c:pt idx="1">
                  <c:v>32971.61</c:v>
                </c:pt>
                <c:pt idx="2">
                  <c:v>35555.15</c:v>
                </c:pt>
                <c:pt idx="3">
                  <c:v>38124.23</c:v>
                </c:pt>
                <c:pt idx="4">
                  <c:v>39431.74</c:v>
                </c:pt>
              </c:numCache>
            </c:numRef>
          </c:val>
        </c:ser>
        <c:ser>
          <c:idx val="2"/>
          <c:order val="2"/>
          <c:tx>
            <c:strRef>
              <c:f>[长岛年度人均可支配收入支出分析表.xlsx]Sheet1!$D$1</c:f>
              <c:strCache>
                <c:ptCount val="1"/>
                <c:pt idx="0">
                  <c:v>农村人均可支配收入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[长岛年度人均可支配收入支出分析表.xlsx]Sheet1!$A$2:$A$6</c:f>
              <c:strCache>
                <c:ptCount val="5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  <c:pt idx="4">
                  <c:v>2020年</c:v>
                </c:pt>
              </c:strCache>
            </c:strRef>
          </c:cat>
          <c:val>
            <c:numRef>
              <c:f>[长岛年度人均可支配收入支出分析表.xlsx]Sheet1!$D$2:$D$6</c:f>
              <c:numCache>
                <c:formatCode>0_ </c:formatCode>
                <c:ptCount val="5"/>
                <c:pt idx="0">
                  <c:v>18502.11</c:v>
                </c:pt>
                <c:pt idx="1">
                  <c:v>20454.55</c:v>
                </c:pt>
                <c:pt idx="2">
                  <c:v>22116.5</c:v>
                </c:pt>
                <c:pt idx="3">
                  <c:v>24268.99</c:v>
                </c:pt>
                <c:pt idx="4">
                  <c:v>25585.15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6226009"/>
        <c:axId val="541092462"/>
      </c:barChart>
      <c:catAx>
        <c:axId val="196226009"/>
        <c:scaling>
          <c:orientation val="minMax"/>
        </c:scaling>
        <c:delete val="0"/>
        <c:axPos val="b"/>
        <c:title>
          <c:tx>
            <c:rich>
              <a:bodyPr rot="0" spcFirstLastPara="0" vertOverflow="ellipsis" vert="horz" wrap="square" anchor="ctr" anchorCtr="1"/>
              <a:lstStyle/>
              <a:p>
                <a:pPr defTabSz="914400">
                  <a:defRPr lang="zh-CN"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b="1"/>
                  <a:t>元</a:t>
                </a:r>
                <a:endParaRPr b="1"/>
              </a:p>
            </c:rich>
          </c:tx>
          <c:layout>
            <c:manualLayout>
              <c:xMode val="edge"/>
              <c:yMode val="edge"/>
              <c:x val="0.0242083333333333"/>
              <c:y val="0.0708333333333333"/>
            </c:manualLayout>
          </c:layout>
          <c:overlay val="0"/>
          <c:spPr>
            <a:noFill/>
            <a:ln>
              <a:noFill/>
            </a:ln>
            <a:effectLst/>
          </c:sp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41092462"/>
        <c:crosses val="autoZero"/>
        <c:auto val="1"/>
        <c:lblAlgn val="ctr"/>
        <c:lblOffset val="100"/>
        <c:noMultiLvlLbl val="0"/>
      </c:catAx>
      <c:valAx>
        <c:axId val="54109246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9622600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b="1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5</Pages>
  <Words>437</Words>
  <Characters>2493</Characters>
  <Lines>20</Lines>
  <Paragraphs>5</Paragraphs>
  <TotalTime>31</TotalTime>
  <ScaleCrop>false</ScaleCrop>
  <LinksUpToDate>false</LinksUpToDate>
  <CharactersWithSpaces>2925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2021-03-10T08:03:00Z</dcterms:created>
  <dc:creator>微软用户</dc:creator>
  <cp:lastModifiedBy>莉莉安    */</cp:lastModifiedBy>
  <cp:lastPrinted>2021-07-09T03:29:00Z</cp:lastPrinted>
  <dcterms:modified xsi:type="dcterms:W3CDTF">2021-08-04T03:26:14Z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C7E71E06E0A04E758ADD1511C9A75EAD</vt:lpwstr>
  </property>
</Properties>
</file>